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4" w:line="218" w:lineRule="auto"/>
        <w:jc w:val="left"/>
        <w:rPr>
          <w:rFonts w:hint="eastAsia" w:ascii="黑体" w:hAnsi="黑体" w:eastAsia="黑体" w:cs="黑体"/>
          <w:b w:val="0"/>
          <w:bCs w:val="0"/>
          <w:color w:val="auto"/>
          <w:spacing w:val="-14"/>
          <w:sz w:val="32"/>
          <w:szCs w:val="32"/>
          <w:highlight w:val="none"/>
          <w:lang w:val="en-US" w:eastAsia="zh-CN"/>
        </w:rPr>
      </w:pPr>
      <w:r>
        <w:rPr>
          <w:rFonts w:hint="eastAsia" w:ascii="黑体" w:hAnsi="黑体" w:eastAsia="黑体" w:cs="黑体"/>
          <w:b w:val="0"/>
          <w:bCs w:val="0"/>
          <w:color w:val="auto"/>
          <w:spacing w:val="-14"/>
          <w:sz w:val="32"/>
          <w:szCs w:val="32"/>
          <w:highlight w:val="none"/>
          <w:lang w:eastAsia="zh-CN"/>
        </w:rPr>
        <w:t>附件</w:t>
      </w:r>
      <w:r>
        <w:rPr>
          <w:rFonts w:hint="eastAsia" w:ascii="黑体" w:hAnsi="黑体" w:eastAsia="黑体" w:cs="黑体"/>
          <w:b w:val="0"/>
          <w:bCs w:val="0"/>
          <w:color w:val="auto"/>
          <w:spacing w:val="-14"/>
          <w:sz w:val="32"/>
          <w:szCs w:val="32"/>
          <w:highlight w:val="none"/>
          <w:lang w:val="en-US" w:eastAsia="zh-CN"/>
        </w:rPr>
        <w:t>7</w:t>
      </w:r>
    </w:p>
    <w:p>
      <w:pPr>
        <w:spacing w:before="154" w:line="218" w:lineRule="auto"/>
        <w:jc w:val="center"/>
        <w:rPr>
          <w:rFonts w:hint="eastAsia" w:ascii="方正小标宋简体" w:hAnsi="方正小标宋简体" w:eastAsia="方正小标宋简体" w:cs="方正小标宋简体"/>
          <w:b w:val="0"/>
          <w:bCs w:val="0"/>
          <w:color w:val="auto"/>
          <w:spacing w:val="-14"/>
          <w:sz w:val="38"/>
          <w:szCs w:val="38"/>
          <w:highlight w:val="none"/>
          <w:lang w:eastAsia="zh-CN"/>
        </w:rPr>
      </w:pPr>
      <w:r>
        <w:rPr>
          <w:rFonts w:hint="eastAsia" w:ascii="方正小标宋简体" w:hAnsi="方正小标宋简体" w:eastAsia="方正小标宋简体" w:cs="方正小标宋简体"/>
          <w:b w:val="0"/>
          <w:bCs w:val="0"/>
          <w:color w:val="auto"/>
          <w:spacing w:val="-14"/>
          <w:sz w:val="38"/>
          <w:szCs w:val="38"/>
          <w:highlight w:val="none"/>
        </w:rPr>
        <w:t>临床、中医、口腔专业</w:t>
      </w:r>
      <w:r>
        <w:rPr>
          <w:rFonts w:hint="eastAsia" w:ascii="方正小标宋简体" w:hAnsi="方正小标宋简体" w:eastAsia="方正小标宋简体" w:cs="方正小标宋简体"/>
          <w:b w:val="0"/>
          <w:bCs w:val="0"/>
          <w:color w:val="auto"/>
          <w:spacing w:val="-14"/>
          <w:sz w:val="38"/>
          <w:szCs w:val="38"/>
          <w:highlight w:val="none"/>
          <w:lang w:eastAsia="zh-CN"/>
        </w:rPr>
        <w:t>高级职称评价指标核定表</w:t>
      </w:r>
    </w:p>
    <w:p>
      <w:pPr>
        <w:spacing w:before="154" w:line="218" w:lineRule="auto"/>
        <w:jc w:val="left"/>
        <w:rPr>
          <w:color w:val="auto"/>
          <w:highlight w:val="none"/>
        </w:rPr>
      </w:pPr>
      <w:r>
        <w:rPr>
          <w:rFonts w:hint="eastAsia" w:ascii="宋体" w:hAnsi="宋体" w:eastAsia="宋体" w:cs="宋体"/>
          <w:b/>
          <w:bCs/>
          <w:color w:val="auto"/>
          <w:spacing w:val="-4"/>
          <w:sz w:val="24"/>
          <w:szCs w:val="24"/>
          <w:highlight w:val="none"/>
          <w:lang w:eastAsia="zh-CN"/>
        </w:rPr>
        <w:t>申报单位：（盖章）</w:t>
      </w:r>
      <w:r>
        <w:rPr>
          <w:rFonts w:hint="eastAsia" w:ascii="宋体" w:hAnsi="宋体" w:eastAsia="宋体" w:cs="宋体"/>
          <w:b/>
          <w:bCs/>
          <w:color w:val="auto"/>
          <w:spacing w:val="-4"/>
          <w:sz w:val="24"/>
          <w:szCs w:val="24"/>
          <w:highlight w:val="none"/>
          <w:lang w:val="en-US" w:eastAsia="zh-CN"/>
        </w:rPr>
        <w:t xml:space="preserve">                                  申报人姓名：                             申报专业技术职务：</w:t>
      </w:r>
    </w:p>
    <w:p>
      <w:pPr>
        <w:spacing w:line="23" w:lineRule="exact"/>
        <w:jc w:val="center"/>
        <w:rPr>
          <w:color w:val="auto"/>
          <w:highlight w:val="none"/>
        </w:rPr>
      </w:pPr>
    </w:p>
    <w:tbl>
      <w:tblPr>
        <w:tblStyle w:val="5"/>
        <w:tblW w:w="15144" w:type="dxa"/>
        <w:tblInd w:w="-37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50"/>
        <w:gridCol w:w="1300"/>
        <w:gridCol w:w="1988"/>
        <w:gridCol w:w="3462"/>
        <w:gridCol w:w="4581"/>
        <w:gridCol w:w="1194"/>
        <w:gridCol w:w="146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4" w:hRule="atLeast"/>
        </w:trPr>
        <w:tc>
          <w:tcPr>
            <w:tcW w:w="1150" w:type="dxa"/>
            <w:vAlign w:val="center"/>
          </w:tcPr>
          <w:p>
            <w:pPr>
              <w:spacing w:before="129" w:line="218" w:lineRule="auto"/>
              <w:jc w:val="center"/>
              <w:rPr>
                <w:rFonts w:ascii="宋体" w:hAnsi="宋体" w:eastAsia="宋体" w:cs="宋体"/>
                <w:color w:val="auto"/>
                <w:sz w:val="24"/>
                <w:szCs w:val="24"/>
                <w:highlight w:val="none"/>
              </w:rPr>
            </w:pPr>
            <w:r>
              <w:rPr>
                <w:rFonts w:ascii="宋体" w:hAnsi="宋体" w:eastAsia="宋体" w:cs="宋体"/>
                <w:b/>
                <w:bCs/>
                <w:color w:val="auto"/>
                <w:spacing w:val="-5"/>
                <w:sz w:val="24"/>
                <w:szCs w:val="24"/>
                <w:highlight w:val="none"/>
              </w:rPr>
              <w:t>评价维度</w:t>
            </w:r>
          </w:p>
        </w:tc>
        <w:tc>
          <w:tcPr>
            <w:tcW w:w="1300" w:type="dxa"/>
            <w:vAlign w:val="center"/>
          </w:tcPr>
          <w:p>
            <w:pPr>
              <w:spacing w:before="132" w:line="220" w:lineRule="auto"/>
              <w:jc w:val="center"/>
              <w:rPr>
                <w:rFonts w:ascii="宋体" w:hAnsi="宋体" w:eastAsia="宋体" w:cs="宋体"/>
                <w:color w:val="auto"/>
                <w:sz w:val="24"/>
                <w:szCs w:val="24"/>
                <w:highlight w:val="none"/>
              </w:rPr>
            </w:pPr>
            <w:r>
              <w:rPr>
                <w:rFonts w:ascii="宋体" w:hAnsi="宋体" w:eastAsia="宋体" w:cs="宋体"/>
                <w:b/>
                <w:bCs/>
                <w:color w:val="auto"/>
                <w:spacing w:val="-5"/>
                <w:sz w:val="24"/>
                <w:szCs w:val="24"/>
                <w:highlight w:val="none"/>
              </w:rPr>
              <w:t>二级指标</w:t>
            </w:r>
          </w:p>
        </w:tc>
        <w:tc>
          <w:tcPr>
            <w:tcW w:w="1988" w:type="dxa"/>
            <w:vAlign w:val="center"/>
          </w:tcPr>
          <w:p>
            <w:pPr>
              <w:spacing w:before="102" w:line="220" w:lineRule="auto"/>
              <w:jc w:val="center"/>
              <w:rPr>
                <w:rFonts w:ascii="宋体" w:hAnsi="宋体" w:eastAsia="宋体" w:cs="宋体"/>
                <w:color w:val="auto"/>
                <w:sz w:val="24"/>
                <w:szCs w:val="24"/>
                <w:highlight w:val="none"/>
              </w:rPr>
            </w:pPr>
            <w:r>
              <w:rPr>
                <w:rFonts w:ascii="宋体" w:hAnsi="宋体" w:eastAsia="宋体" w:cs="宋体"/>
                <w:b/>
                <w:bCs/>
                <w:color w:val="auto"/>
                <w:spacing w:val="-5"/>
                <w:sz w:val="24"/>
                <w:szCs w:val="24"/>
                <w:highlight w:val="none"/>
              </w:rPr>
              <w:t>三级指标</w:t>
            </w:r>
          </w:p>
        </w:tc>
        <w:tc>
          <w:tcPr>
            <w:tcW w:w="3462" w:type="dxa"/>
            <w:vAlign w:val="center"/>
          </w:tcPr>
          <w:p>
            <w:pPr>
              <w:spacing w:before="102" w:line="220" w:lineRule="auto"/>
              <w:jc w:val="center"/>
              <w:rPr>
                <w:rFonts w:ascii="宋体" w:hAnsi="宋体" w:eastAsia="宋体" w:cs="宋体"/>
                <w:color w:val="auto"/>
                <w:sz w:val="24"/>
                <w:szCs w:val="24"/>
                <w:highlight w:val="none"/>
              </w:rPr>
            </w:pPr>
            <w:r>
              <w:rPr>
                <w:rFonts w:ascii="宋体" w:hAnsi="宋体" w:eastAsia="宋体" w:cs="宋体"/>
                <w:b/>
                <w:bCs/>
                <w:color w:val="auto"/>
                <w:spacing w:val="-5"/>
                <w:sz w:val="24"/>
                <w:szCs w:val="24"/>
                <w:highlight w:val="none"/>
              </w:rPr>
              <w:t>指标定义</w:t>
            </w:r>
          </w:p>
        </w:tc>
        <w:tc>
          <w:tcPr>
            <w:tcW w:w="4581" w:type="dxa"/>
            <w:vAlign w:val="center"/>
          </w:tcPr>
          <w:p>
            <w:pPr>
              <w:spacing w:before="101" w:line="219" w:lineRule="auto"/>
              <w:jc w:val="center"/>
              <w:rPr>
                <w:rFonts w:ascii="宋体" w:hAnsi="宋体" w:eastAsia="宋体" w:cs="宋体"/>
                <w:color w:val="auto"/>
                <w:sz w:val="24"/>
                <w:szCs w:val="24"/>
                <w:highlight w:val="none"/>
              </w:rPr>
            </w:pPr>
            <w:r>
              <w:rPr>
                <w:rFonts w:ascii="宋体" w:hAnsi="宋体" w:eastAsia="宋体" w:cs="宋体"/>
                <w:b/>
                <w:bCs/>
                <w:color w:val="auto"/>
                <w:spacing w:val="2"/>
                <w:sz w:val="24"/>
                <w:szCs w:val="24"/>
                <w:highlight w:val="none"/>
              </w:rPr>
              <w:t>计算方法</w:t>
            </w:r>
          </w:p>
        </w:tc>
        <w:tc>
          <w:tcPr>
            <w:tcW w:w="1194" w:type="dxa"/>
            <w:vAlign w:val="center"/>
          </w:tcPr>
          <w:p>
            <w:pPr>
              <w:spacing w:before="101" w:line="219" w:lineRule="auto"/>
              <w:jc w:val="center"/>
              <w:rPr>
                <w:rFonts w:hint="eastAsia" w:ascii="宋体" w:hAnsi="宋体" w:eastAsia="宋体" w:cs="宋体"/>
                <w:b/>
                <w:bCs/>
                <w:color w:val="auto"/>
                <w:spacing w:val="2"/>
                <w:sz w:val="24"/>
                <w:szCs w:val="24"/>
                <w:highlight w:val="none"/>
                <w:lang w:eastAsia="zh-CN"/>
              </w:rPr>
            </w:pPr>
            <w:r>
              <w:rPr>
                <w:rFonts w:hint="eastAsia" w:ascii="宋体" w:hAnsi="宋体" w:eastAsia="宋体" w:cs="宋体"/>
                <w:b/>
                <w:bCs/>
                <w:color w:val="auto"/>
                <w:spacing w:val="2"/>
                <w:sz w:val="24"/>
                <w:szCs w:val="24"/>
                <w:highlight w:val="none"/>
                <w:lang w:eastAsia="zh-CN"/>
              </w:rPr>
              <w:t>指标完成情况</w:t>
            </w:r>
          </w:p>
        </w:tc>
        <w:tc>
          <w:tcPr>
            <w:tcW w:w="1469" w:type="dxa"/>
            <w:vAlign w:val="center"/>
          </w:tcPr>
          <w:p>
            <w:pPr>
              <w:spacing w:before="101" w:line="219" w:lineRule="auto"/>
              <w:jc w:val="center"/>
              <w:rPr>
                <w:rFonts w:ascii="宋体" w:hAnsi="宋体" w:eastAsia="宋体" w:cs="宋体"/>
                <w:b/>
                <w:bCs/>
                <w:color w:val="auto"/>
                <w:spacing w:val="2"/>
                <w:sz w:val="24"/>
                <w:szCs w:val="24"/>
                <w:highlight w:val="none"/>
              </w:rPr>
            </w:pPr>
            <w:r>
              <w:rPr>
                <w:rFonts w:hint="eastAsia" w:ascii="宋体" w:hAnsi="宋体" w:eastAsia="宋体" w:cs="宋体"/>
                <w:b/>
                <w:bCs/>
                <w:color w:val="auto"/>
                <w:spacing w:val="7"/>
                <w:sz w:val="24"/>
                <w:szCs w:val="24"/>
                <w:highlight w:val="none"/>
                <w:lang w:eastAsia="zh-CN"/>
              </w:rPr>
              <w:t>责任科室负责人签字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8" w:hRule="atLeast"/>
        </w:trPr>
        <w:tc>
          <w:tcPr>
            <w:tcW w:w="1150" w:type="dxa"/>
            <w:vMerge w:val="restart"/>
            <w:tcBorders>
              <w:bottom w:val="nil"/>
            </w:tcBorders>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技术能力</w:t>
            </w:r>
          </w:p>
        </w:tc>
        <w:tc>
          <w:tcPr>
            <w:tcW w:w="1300" w:type="dxa"/>
            <w:vMerge w:val="restart"/>
            <w:tcBorders>
              <w:bottom w:val="nil"/>
            </w:tcBorders>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出院患者病种范围和例数</w:t>
            </w:r>
          </w:p>
        </w:tc>
        <w:tc>
          <w:tcPr>
            <w:tcW w:w="1988"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基本病种覆盖率</w:t>
            </w:r>
          </w:p>
        </w:tc>
        <w:tc>
          <w:tcPr>
            <w:tcW w:w="3462"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考核期内医师诊治的本专业出院患者中覆盖的基本病种数占本专业所有基本病种数的比例</w:t>
            </w:r>
          </w:p>
        </w:tc>
        <w:tc>
          <w:tcPr>
            <w:tcW w:w="4581"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考核期内医师诊治的本专业出院患者覆盖基本病种数/本专业基本病种总数×100%</w:t>
            </w:r>
          </w:p>
        </w:tc>
        <w:tc>
          <w:tcPr>
            <w:tcW w:w="1194" w:type="dxa"/>
            <w:vAlign w:val="center"/>
          </w:tcPr>
          <w:p>
            <w:pPr>
              <w:spacing w:before="60" w:line="235" w:lineRule="auto"/>
              <w:ind w:left="36"/>
              <w:jc w:val="center"/>
              <w:rPr>
                <w:rFonts w:ascii="宋体" w:hAnsi="宋体" w:eastAsia="宋体" w:cs="宋体"/>
                <w:color w:val="auto"/>
                <w:sz w:val="23"/>
                <w:szCs w:val="23"/>
                <w:highlight w:val="none"/>
              </w:rPr>
            </w:pPr>
          </w:p>
        </w:tc>
        <w:tc>
          <w:tcPr>
            <w:tcW w:w="1469"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9" w:hRule="atLeast"/>
        </w:trPr>
        <w:tc>
          <w:tcPr>
            <w:tcW w:w="1150" w:type="dxa"/>
            <w:vMerge w:val="continue"/>
            <w:tcBorders>
              <w:top w:val="nil"/>
              <w:bottom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300" w:type="dxa"/>
            <w:vMerge w:val="continue"/>
            <w:tcBorders>
              <w:top w:val="nil"/>
              <w:bottom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988"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基本病种诊疗人数</w:t>
            </w:r>
          </w:p>
        </w:tc>
        <w:tc>
          <w:tcPr>
            <w:tcW w:w="3462"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考核期内医师诊治的本专业基本病种出院人数</w:t>
            </w:r>
          </w:p>
        </w:tc>
        <w:tc>
          <w:tcPr>
            <w:tcW w:w="4581"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考核期内医师诊治的符合本专业基本病种纳入条件的出院人数之和</w:t>
            </w:r>
          </w:p>
        </w:tc>
        <w:tc>
          <w:tcPr>
            <w:tcW w:w="1194" w:type="dxa"/>
            <w:vAlign w:val="center"/>
          </w:tcPr>
          <w:p>
            <w:pPr>
              <w:spacing w:before="60" w:line="235" w:lineRule="auto"/>
              <w:ind w:left="36"/>
              <w:jc w:val="center"/>
              <w:rPr>
                <w:rFonts w:ascii="宋体" w:hAnsi="宋体" w:eastAsia="宋体" w:cs="宋体"/>
                <w:color w:val="auto"/>
                <w:sz w:val="23"/>
                <w:szCs w:val="23"/>
                <w:highlight w:val="none"/>
              </w:rPr>
            </w:pPr>
          </w:p>
        </w:tc>
        <w:tc>
          <w:tcPr>
            <w:tcW w:w="1469"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9" w:hRule="atLeast"/>
        </w:trPr>
        <w:tc>
          <w:tcPr>
            <w:tcW w:w="1150" w:type="dxa"/>
            <w:vMerge w:val="continue"/>
            <w:tcBorders>
              <w:top w:val="nil"/>
              <w:bottom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300" w:type="dxa"/>
            <w:vMerge w:val="continue"/>
            <w:tcBorders>
              <w:top w:val="nil"/>
              <w:bottom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988"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疑难病种覆盖率</w:t>
            </w:r>
          </w:p>
        </w:tc>
        <w:tc>
          <w:tcPr>
            <w:tcW w:w="3462"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考核期内医师诊治的本专业出院患者中覆盖的疑难病种数占本专业所有疑难病种数的比例</w:t>
            </w:r>
          </w:p>
        </w:tc>
        <w:tc>
          <w:tcPr>
            <w:tcW w:w="4581"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考核期内医师诊治的本专业出院患者覆盖疑难病种数/本专业疑难病种总数×100%</w:t>
            </w:r>
          </w:p>
        </w:tc>
        <w:tc>
          <w:tcPr>
            <w:tcW w:w="1194" w:type="dxa"/>
            <w:vAlign w:val="center"/>
          </w:tcPr>
          <w:p>
            <w:pPr>
              <w:spacing w:before="60" w:line="235" w:lineRule="auto"/>
              <w:ind w:left="36"/>
              <w:jc w:val="center"/>
              <w:rPr>
                <w:rFonts w:ascii="宋体" w:hAnsi="宋体" w:eastAsia="宋体" w:cs="宋体"/>
                <w:color w:val="auto"/>
                <w:sz w:val="23"/>
                <w:szCs w:val="23"/>
                <w:highlight w:val="none"/>
              </w:rPr>
            </w:pPr>
          </w:p>
        </w:tc>
        <w:tc>
          <w:tcPr>
            <w:tcW w:w="1469"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9" w:hRule="atLeast"/>
        </w:trPr>
        <w:tc>
          <w:tcPr>
            <w:tcW w:w="1150" w:type="dxa"/>
            <w:vMerge w:val="continue"/>
            <w:tcBorders>
              <w:top w:val="nil"/>
              <w:bottom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300" w:type="dxa"/>
            <w:vMerge w:val="continue"/>
            <w:tcBorders>
              <w:top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988"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疑难病种诊疗人数</w:t>
            </w:r>
          </w:p>
        </w:tc>
        <w:tc>
          <w:tcPr>
            <w:tcW w:w="3462"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考核期内医师诊治的本专业疑难病种出院人数</w:t>
            </w:r>
          </w:p>
        </w:tc>
        <w:tc>
          <w:tcPr>
            <w:tcW w:w="4581"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考核期内医师诊治的符合本专业疑难病种纳入条件的出院人数之和</w:t>
            </w:r>
          </w:p>
        </w:tc>
        <w:tc>
          <w:tcPr>
            <w:tcW w:w="1194" w:type="dxa"/>
            <w:vAlign w:val="center"/>
          </w:tcPr>
          <w:p>
            <w:pPr>
              <w:spacing w:before="60" w:line="235" w:lineRule="auto"/>
              <w:ind w:left="36"/>
              <w:jc w:val="center"/>
              <w:rPr>
                <w:rFonts w:ascii="宋体" w:hAnsi="宋体" w:eastAsia="宋体" w:cs="宋体"/>
                <w:color w:val="auto"/>
                <w:sz w:val="23"/>
                <w:szCs w:val="23"/>
                <w:highlight w:val="none"/>
              </w:rPr>
            </w:pPr>
          </w:p>
        </w:tc>
        <w:tc>
          <w:tcPr>
            <w:tcW w:w="1469"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56" w:hRule="atLeast"/>
        </w:trPr>
        <w:tc>
          <w:tcPr>
            <w:tcW w:w="1150" w:type="dxa"/>
            <w:vMerge w:val="continue"/>
            <w:tcBorders>
              <w:top w:val="nil"/>
              <w:bottom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300" w:type="dxa"/>
            <w:vMerge w:val="restart"/>
            <w:tcBorders>
              <w:bottom w:val="nil"/>
            </w:tcBorders>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出院患者手术难度和例数</w:t>
            </w:r>
          </w:p>
        </w:tc>
        <w:tc>
          <w:tcPr>
            <w:tcW w:w="1988"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基本手术覆盖率</w:t>
            </w:r>
          </w:p>
        </w:tc>
        <w:tc>
          <w:tcPr>
            <w:tcW w:w="3462"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考核期内医师施行的本专业基本手术(或操作)种类数占所有基本手术(或操作)种类数的比例</w:t>
            </w:r>
          </w:p>
        </w:tc>
        <w:tc>
          <w:tcPr>
            <w:tcW w:w="4581"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考核期内出院患者中医师施行的本专业手术(或操作)患者覆盖基本手术种类数/本专业基本手术(或操作)种类总数×100%</w:t>
            </w:r>
          </w:p>
        </w:tc>
        <w:tc>
          <w:tcPr>
            <w:tcW w:w="1194" w:type="dxa"/>
            <w:vAlign w:val="center"/>
          </w:tcPr>
          <w:p>
            <w:pPr>
              <w:spacing w:before="60" w:line="235" w:lineRule="auto"/>
              <w:ind w:left="36"/>
              <w:jc w:val="center"/>
              <w:rPr>
                <w:rFonts w:ascii="宋体" w:hAnsi="宋体" w:eastAsia="宋体" w:cs="宋体"/>
                <w:color w:val="auto"/>
                <w:sz w:val="23"/>
                <w:szCs w:val="23"/>
                <w:highlight w:val="none"/>
              </w:rPr>
            </w:pPr>
          </w:p>
        </w:tc>
        <w:tc>
          <w:tcPr>
            <w:tcW w:w="1469"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3" w:hRule="atLeast"/>
        </w:trPr>
        <w:tc>
          <w:tcPr>
            <w:tcW w:w="1150" w:type="dxa"/>
            <w:vMerge w:val="continue"/>
            <w:tcBorders>
              <w:top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300" w:type="dxa"/>
            <w:vMerge w:val="continue"/>
            <w:tcBorders>
              <w:top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988"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基本手术人次数</w:t>
            </w:r>
          </w:p>
        </w:tc>
        <w:tc>
          <w:tcPr>
            <w:tcW w:w="3462"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考核期内医师施行的本专业基本手术(或操作)的人次数</w:t>
            </w:r>
          </w:p>
        </w:tc>
        <w:tc>
          <w:tcPr>
            <w:tcW w:w="4581"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考核期内出院患者中医师施行的符合本专业基本手术(或操作)纳入条件的手术人次数之和</w:t>
            </w:r>
          </w:p>
        </w:tc>
        <w:tc>
          <w:tcPr>
            <w:tcW w:w="1194" w:type="dxa"/>
            <w:vAlign w:val="center"/>
          </w:tcPr>
          <w:p>
            <w:pPr>
              <w:spacing w:before="60" w:line="235" w:lineRule="auto"/>
              <w:ind w:left="36"/>
              <w:jc w:val="center"/>
              <w:rPr>
                <w:rFonts w:ascii="宋体" w:hAnsi="宋体" w:eastAsia="宋体" w:cs="宋体"/>
                <w:color w:val="auto"/>
                <w:sz w:val="23"/>
                <w:szCs w:val="23"/>
                <w:highlight w:val="none"/>
              </w:rPr>
            </w:pPr>
          </w:p>
        </w:tc>
        <w:tc>
          <w:tcPr>
            <w:tcW w:w="1469" w:type="dxa"/>
            <w:vAlign w:val="center"/>
          </w:tcPr>
          <w:p>
            <w:pPr>
              <w:spacing w:before="60" w:line="235" w:lineRule="auto"/>
              <w:ind w:left="36"/>
              <w:jc w:val="center"/>
              <w:rPr>
                <w:rFonts w:ascii="宋体" w:hAnsi="宋体" w:eastAsia="宋体" w:cs="宋体"/>
                <w:color w:val="auto"/>
                <w:sz w:val="23"/>
                <w:szCs w:val="23"/>
                <w:highlight w:val="none"/>
              </w:rPr>
            </w:pPr>
          </w:p>
        </w:tc>
      </w:tr>
    </w:tbl>
    <w:p>
      <w:pPr>
        <w:jc w:val="center"/>
        <w:rPr>
          <w:color w:val="auto"/>
          <w:highlight w:val="none"/>
        </w:rPr>
      </w:pPr>
    </w:p>
    <w:p>
      <w:pPr>
        <w:jc w:val="center"/>
        <w:rPr>
          <w:color w:val="auto"/>
          <w:highlight w:val="none"/>
        </w:rPr>
      </w:pPr>
    </w:p>
    <w:p>
      <w:pPr>
        <w:jc w:val="center"/>
        <w:rPr>
          <w:color w:val="auto"/>
          <w:highlight w:val="none"/>
        </w:rPr>
      </w:pPr>
    </w:p>
    <w:tbl>
      <w:tblPr>
        <w:tblStyle w:val="5"/>
        <w:tblW w:w="15233" w:type="dxa"/>
        <w:tblInd w:w="-4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33"/>
        <w:gridCol w:w="1322"/>
        <w:gridCol w:w="1945"/>
        <w:gridCol w:w="3522"/>
        <w:gridCol w:w="4744"/>
        <w:gridCol w:w="1000"/>
        <w:gridCol w:w="14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4" w:hRule="atLeast"/>
        </w:trPr>
        <w:tc>
          <w:tcPr>
            <w:tcW w:w="1233" w:type="dxa"/>
            <w:vAlign w:val="center"/>
          </w:tcPr>
          <w:p>
            <w:pPr>
              <w:spacing w:before="109" w:line="218" w:lineRule="auto"/>
              <w:ind w:left="208"/>
              <w:jc w:val="center"/>
              <w:rPr>
                <w:rFonts w:ascii="宋体" w:hAnsi="宋体" w:eastAsia="宋体" w:cs="宋体"/>
                <w:color w:val="auto"/>
                <w:sz w:val="23"/>
                <w:szCs w:val="23"/>
                <w:highlight w:val="none"/>
              </w:rPr>
            </w:pPr>
            <w:r>
              <w:rPr>
                <w:rFonts w:ascii="宋体" w:hAnsi="宋体" w:eastAsia="宋体" w:cs="宋体"/>
                <w:b/>
                <w:bCs/>
                <w:color w:val="auto"/>
                <w:spacing w:val="-4"/>
                <w:sz w:val="23"/>
                <w:szCs w:val="23"/>
                <w:highlight w:val="none"/>
              </w:rPr>
              <w:t>评价维度</w:t>
            </w:r>
          </w:p>
        </w:tc>
        <w:tc>
          <w:tcPr>
            <w:tcW w:w="1322" w:type="dxa"/>
            <w:vAlign w:val="center"/>
          </w:tcPr>
          <w:p>
            <w:pPr>
              <w:spacing w:before="111" w:line="220" w:lineRule="auto"/>
              <w:ind w:left="214"/>
              <w:jc w:val="center"/>
              <w:rPr>
                <w:rFonts w:ascii="宋体" w:hAnsi="宋体" w:eastAsia="宋体" w:cs="宋体"/>
                <w:color w:val="auto"/>
                <w:sz w:val="23"/>
                <w:szCs w:val="23"/>
                <w:highlight w:val="none"/>
              </w:rPr>
            </w:pPr>
            <w:r>
              <w:rPr>
                <w:rFonts w:ascii="宋体" w:hAnsi="宋体" w:eastAsia="宋体" w:cs="宋体"/>
                <w:b/>
                <w:bCs/>
                <w:color w:val="auto"/>
                <w:spacing w:val="-5"/>
                <w:sz w:val="23"/>
                <w:szCs w:val="23"/>
                <w:highlight w:val="none"/>
              </w:rPr>
              <w:t>二级指标</w:t>
            </w:r>
          </w:p>
        </w:tc>
        <w:tc>
          <w:tcPr>
            <w:tcW w:w="1945" w:type="dxa"/>
            <w:vAlign w:val="center"/>
          </w:tcPr>
          <w:p>
            <w:pPr>
              <w:spacing w:before="111" w:line="220" w:lineRule="auto"/>
              <w:jc w:val="center"/>
              <w:rPr>
                <w:rFonts w:ascii="宋体" w:hAnsi="宋体" w:eastAsia="宋体" w:cs="宋体"/>
                <w:color w:val="auto"/>
                <w:sz w:val="23"/>
                <w:szCs w:val="23"/>
                <w:highlight w:val="none"/>
              </w:rPr>
            </w:pPr>
            <w:r>
              <w:rPr>
                <w:rFonts w:ascii="宋体" w:hAnsi="宋体" w:eastAsia="宋体" w:cs="宋体"/>
                <w:b/>
                <w:bCs/>
                <w:color w:val="auto"/>
                <w:spacing w:val="-5"/>
                <w:sz w:val="23"/>
                <w:szCs w:val="23"/>
                <w:highlight w:val="none"/>
              </w:rPr>
              <w:t>三级指标</w:t>
            </w:r>
          </w:p>
        </w:tc>
        <w:tc>
          <w:tcPr>
            <w:tcW w:w="3522" w:type="dxa"/>
            <w:vAlign w:val="center"/>
          </w:tcPr>
          <w:p>
            <w:pPr>
              <w:spacing w:before="111" w:line="220" w:lineRule="auto"/>
              <w:jc w:val="center"/>
              <w:rPr>
                <w:rFonts w:ascii="宋体" w:hAnsi="宋体" w:eastAsia="宋体" w:cs="宋体"/>
                <w:color w:val="auto"/>
                <w:sz w:val="23"/>
                <w:szCs w:val="23"/>
                <w:highlight w:val="none"/>
              </w:rPr>
            </w:pPr>
            <w:r>
              <w:rPr>
                <w:rFonts w:ascii="宋体" w:hAnsi="宋体" w:eastAsia="宋体" w:cs="宋体"/>
                <w:b/>
                <w:bCs/>
                <w:color w:val="auto"/>
                <w:spacing w:val="8"/>
                <w:sz w:val="23"/>
                <w:szCs w:val="23"/>
                <w:highlight w:val="none"/>
              </w:rPr>
              <w:t>指标定义</w:t>
            </w:r>
          </w:p>
        </w:tc>
        <w:tc>
          <w:tcPr>
            <w:tcW w:w="4744" w:type="dxa"/>
            <w:vAlign w:val="center"/>
          </w:tcPr>
          <w:p>
            <w:pPr>
              <w:spacing w:before="111" w:line="219" w:lineRule="auto"/>
              <w:jc w:val="center"/>
              <w:rPr>
                <w:rFonts w:ascii="宋体" w:hAnsi="宋体" w:eastAsia="宋体" w:cs="宋体"/>
                <w:color w:val="auto"/>
                <w:sz w:val="23"/>
                <w:szCs w:val="23"/>
                <w:highlight w:val="none"/>
              </w:rPr>
            </w:pPr>
            <w:r>
              <w:rPr>
                <w:rFonts w:ascii="宋体" w:hAnsi="宋体" w:eastAsia="宋体" w:cs="宋体"/>
                <w:b/>
                <w:bCs/>
                <w:color w:val="auto"/>
                <w:spacing w:val="7"/>
                <w:sz w:val="23"/>
                <w:szCs w:val="23"/>
                <w:highlight w:val="none"/>
              </w:rPr>
              <w:t>计算方法</w:t>
            </w:r>
          </w:p>
        </w:tc>
        <w:tc>
          <w:tcPr>
            <w:tcW w:w="1000" w:type="dxa"/>
            <w:vAlign w:val="center"/>
          </w:tcPr>
          <w:p>
            <w:pPr>
              <w:spacing w:before="101" w:line="219" w:lineRule="auto"/>
              <w:jc w:val="center"/>
              <w:rPr>
                <w:rFonts w:hint="eastAsia" w:ascii="宋体" w:hAnsi="宋体" w:eastAsia="宋体" w:cs="宋体"/>
                <w:b/>
                <w:bCs/>
                <w:snapToGrid w:val="0"/>
                <w:color w:val="auto"/>
                <w:spacing w:val="2"/>
                <w:kern w:val="0"/>
                <w:sz w:val="24"/>
                <w:szCs w:val="24"/>
                <w:highlight w:val="none"/>
                <w:lang w:eastAsia="zh-CN"/>
              </w:rPr>
            </w:pPr>
            <w:r>
              <w:rPr>
                <w:rFonts w:hint="eastAsia" w:ascii="宋体" w:hAnsi="宋体" w:eastAsia="宋体" w:cs="宋体"/>
                <w:b/>
                <w:bCs/>
                <w:color w:val="auto"/>
                <w:spacing w:val="2"/>
                <w:sz w:val="24"/>
                <w:szCs w:val="24"/>
                <w:highlight w:val="none"/>
                <w:lang w:eastAsia="zh-CN"/>
              </w:rPr>
              <w:t>指标完成情况</w:t>
            </w:r>
          </w:p>
        </w:tc>
        <w:tc>
          <w:tcPr>
            <w:tcW w:w="1467" w:type="dxa"/>
            <w:vAlign w:val="center"/>
          </w:tcPr>
          <w:p>
            <w:pPr>
              <w:spacing w:before="101" w:line="219" w:lineRule="auto"/>
              <w:jc w:val="center"/>
              <w:rPr>
                <w:rFonts w:ascii="宋体" w:hAnsi="宋体" w:eastAsia="宋体" w:cs="宋体"/>
                <w:b/>
                <w:bCs/>
                <w:snapToGrid w:val="0"/>
                <w:color w:val="auto"/>
                <w:spacing w:val="2"/>
                <w:kern w:val="0"/>
                <w:sz w:val="24"/>
                <w:szCs w:val="24"/>
                <w:highlight w:val="none"/>
              </w:rPr>
            </w:pPr>
            <w:r>
              <w:rPr>
                <w:rFonts w:hint="eastAsia" w:ascii="宋体" w:hAnsi="宋体" w:eastAsia="宋体" w:cs="宋体"/>
                <w:b/>
                <w:bCs/>
                <w:color w:val="auto"/>
                <w:spacing w:val="7"/>
                <w:sz w:val="24"/>
                <w:szCs w:val="24"/>
                <w:highlight w:val="none"/>
                <w:lang w:eastAsia="zh-CN"/>
              </w:rPr>
              <w:t>责任科室负责人签字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59" w:hRule="atLeast"/>
        </w:trPr>
        <w:tc>
          <w:tcPr>
            <w:tcW w:w="1233" w:type="dxa"/>
            <w:vMerge w:val="restart"/>
            <w:tcBorders>
              <w:bottom w:val="nil"/>
            </w:tcBorders>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技术能力</w:t>
            </w:r>
          </w:p>
        </w:tc>
        <w:tc>
          <w:tcPr>
            <w:tcW w:w="1322" w:type="dxa"/>
            <w:vMerge w:val="restart"/>
            <w:tcBorders>
              <w:bottom w:val="nil"/>
            </w:tcBorders>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出院患者</w:t>
            </w:r>
          </w:p>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手术难度</w:t>
            </w:r>
          </w:p>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和例数</w:t>
            </w:r>
          </w:p>
        </w:tc>
        <w:tc>
          <w:tcPr>
            <w:tcW w:w="1945"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疑难手术覆盖率</w:t>
            </w:r>
          </w:p>
        </w:tc>
        <w:tc>
          <w:tcPr>
            <w:tcW w:w="3522"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考核期内医师施行的本专业疑难手术(或操作)种类数占所有疑难手术(含操作)种类数的比重</w:t>
            </w:r>
          </w:p>
        </w:tc>
        <w:tc>
          <w:tcPr>
            <w:tcW w:w="4744"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考核期内出院患者中医师施行的本专业手术(或操作)患者覆盖疑难手术种类数/本专业疑难手术种类总数×100%</w:t>
            </w:r>
          </w:p>
        </w:tc>
        <w:tc>
          <w:tcPr>
            <w:tcW w:w="1000" w:type="dxa"/>
            <w:vAlign w:val="center"/>
          </w:tcPr>
          <w:p>
            <w:pPr>
              <w:spacing w:before="60" w:line="235" w:lineRule="auto"/>
              <w:ind w:left="36"/>
              <w:jc w:val="center"/>
              <w:rPr>
                <w:rFonts w:ascii="宋体" w:hAnsi="宋体" w:eastAsia="宋体" w:cs="宋体"/>
                <w:color w:val="auto"/>
                <w:sz w:val="23"/>
                <w:szCs w:val="23"/>
                <w:highlight w:val="none"/>
              </w:rPr>
            </w:pPr>
          </w:p>
        </w:tc>
        <w:tc>
          <w:tcPr>
            <w:tcW w:w="1467"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9" w:hRule="atLeast"/>
        </w:trPr>
        <w:tc>
          <w:tcPr>
            <w:tcW w:w="1233" w:type="dxa"/>
            <w:vMerge w:val="continue"/>
            <w:tcBorders>
              <w:top w:val="nil"/>
              <w:bottom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322" w:type="dxa"/>
            <w:vMerge w:val="continue"/>
            <w:tcBorders>
              <w:top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945"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疑难手术人次数</w:t>
            </w:r>
          </w:p>
        </w:tc>
        <w:tc>
          <w:tcPr>
            <w:tcW w:w="3522"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考核期内医师施行的本专业疑难手术(或操作)的人次数</w:t>
            </w:r>
          </w:p>
        </w:tc>
        <w:tc>
          <w:tcPr>
            <w:tcW w:w="4744"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考核期内出院患者中医师施行的符合本专业疑难手术(或操作)纳入条件的手术人次数之和</w:t>
            </w:r>
          </w:p>
        </w:tc>
        <w:tc>
          <w:tcPr>
            <w:tcW w:w="1000" w:type="dxa"/>
            <w:vAlign w:val="center"/>
          </w:tcPr>
          <w:p>
            <w:pPr>
              <w:spacing w:before="60" w:line="235" w:lineRule="auto"/>
              <w:ind w:left="36"/>
              <w:jc w:val="center"/>
              <w:rPr>
                <w:rFonts w:ascii="宋体" w:hAnsi="宋体" w:eastAsia="宋体" w:cs="宋体"/>
                <w:color w:val="auto"/>
                <w:sz w:val="23"/>
                <w:szCs w:val="23"/>
                <w:highlight w:val="none"/>
              </w:rPr>
            </w:pPr>
          </w:p>
        </w:tc>
        <w:tc>
          <w:tcPr>
            <w:tcW w:w="1467"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9" w:hRule="atLeast"/>
        </w:trPr>
        <w:tc>
          <w:tcPr>
            <w:tcW w:w="1233" w:type="dxa"/>
            <w:vMerge w:val="continue"/>
            <w:tcBorders>
              <w:top w:val="nil"/>
              <w:bottom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322" w:type="dxa"/>
            <w:vMerge w:val="restart"/>
            <w:tcBorders>
              <w:bottom w:val="nil"/>
            </w:tcBorders>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中医治疗情况</w:t>
            </w:r>
          </w:p>
        </w:tc>
        <w:tc>
          <w:tcPr>
            <w:tcW w:w="1945"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以中医为主治疗的出院患者比例</w:t>
            </w:r>
          </w:p>
        </w:tc>
        <w:tc>
          <w:tcPr>
            <w:tcW w:w="3522"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考核期内医师以中医为主治疗本专业出院患者的比例</w:t>
            </w:r>
          </w:p>
        </w:tc>
        <w:tc>
          <w:tcPr>
            <w:tcW w:w="4744"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考核期内医师以中医为主治疗的本专业出院患者数量/本专业出院患者总数</w:t>
            </w:r>
          </w:p>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×100%</w:t>
            </w:r>
          </w:p>
        </w:tc>
        <w:tc>
          <w:tcPr>
            <w:tcW w:w="1000" w:type="dxa"/>
            <w:vAlign w:val="center"/>
          </w:tcPr>
          <w:p>
            <w:pPr>
              <w:spacing w:before="60" w:line="235" w:lineRule="auto"/>
              <w:ind w:left="36"/>
              <w:jc w:val="center"/>
              <w:rPr>
                <w:rFonts w:ascii="宋体" w:hAnsi="宋体" w:eastAsia="宋体" w:cs="宋体"/>
                <w:color w:val="auto"/>
                <w:sz w:val="23"/>
                <w:szCs w:val="23"/>
                <w:highlight w:val="none"/>
              </w:rPr>
            </w:pPr>
          </w:p>
        </w:tc>
        <w:tc>
          <w:tcPr>
            <w:tcW w:w="1467"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1233" w:type="dxa"/>
            <w:vMerge w:val="continue"/>
            <w:tcBorders>
              <w:top w:val="nil"/>
              <w:bottom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322" w:type="dxa"/>
            <w:vMerge w:val="continue"/>
            <w:tcBorders>
              <w:top w:val="nil"/>
              <w:bottom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945"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中药饮片处方比</w:t>
            </w:r>
          </w:p>
        </w:tc>
        <w:tc>
          <w:tcPr>
            <w:tcW w:w="3522"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考核期内医师对出院患者开具的中药饮片处方占所有处方的比例</w:t>
            </w:r>
          </w:p>
        </w:tc>
        <w:tc>
          <w:tcPr>
            <w:tcW w:w="4744"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考核期内医师对出院患者开具的中药饮片处方数/所有处方总数×100%</w:t>
            </w:r>
          </w:p>
        </w:tc>
        <w:tc>
          <w:tcPr>
            <w:tcW w:w="1000" w:type="dxa"/>
            <w:vAlign w:val="center"/>
          </w:tcPr>
          <w:p>
            <w:pPr>
              <w:spacing w:before="60" w:line="235" w:lineRule="auto"/>
              <w:ind w:left="36"/>
              <w:jc w:val="center"/>
              <w:rPr>
                <w:rFonts w:ascii="宋体" w:hAnsi="宋体" w:eastAsia="宋体" w:cs="宋体"/>
                <w:color w:val="auto"/>
                <w:sz w:val="23"/>
                <w:szCs w:val="23"/>
                <w:highlight w:val="none"/>
              </w:rPr>
            </w:pPr>
          </w:p>
        </w:tc>
        <w:tc>
          <w:tcPr>
            <w:tcW w:w="1467"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1233" w:type="dxa"/>
            <w:vMerge w:val="continue"/>
            <w:tcBorders>
              <w:top w:val="nil"/>
              <w:bottom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322" w:type="dxa"/>
            <w:vMerge w:val="continue"/>
            <w:tcBorders>
              <w:top w:val="nil"/>
              <w:bottom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945"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中医治疗疑难危重病患者数量</w:t>
            </w:r>
          </w:p>
        </w:tc>
        <w:tc>
          <w:tcPr>
            <w:tcW w:w="3522"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考核期内医师诊治的本专业疑难病数量</w:t>
            </w:r>
          </w:p>
        </w:tc>
        <w:tc>
          <w:tcPr>
            <w:tcW w:w="4744"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考核期内出院患者中医诊治的本专业疑难病数量</w:t>
            </w:r>
          </w:p>
        </w:tc>
        <w:tc>
          <w:tcPr>
            <w:tcW w:w="1000" w:type="dxa"/>
            <w:vAlign w:val="center"/>
          </w:tcPr>
          <w:p>
            <w:pPr>
              <w:spacing w:before="60" w:line="235" w:lineRule="auto"/>
              <w:ind w:left="36"/>
              <w:jc w:val="center"/>
              <w:rPr>
                <w:rFonts w:ascii="宋体" w:hAnsi="宋体" w:eastAsia="宋体" w:cs="宋体"/>
                <w:color w:val="auto"/>
                <w:sz w:val="23"/>
                <w:szCs w:val="23"/>
                <w:highlight w:val="none"/>
              </w:rPr>
            </w:pPr>
          </w:p>
        </w:tc>
        <w:tc>
          <w:tcPr>
            <w:tcW w:w="1467"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59" w:hRule="atLeast"/>
        </w:trPr>
        <w:tc>
          <w:tcPr>
            <w:tcW w:w="1233" w:type="dxa"/>
            <w:vMerge w:val="continue"/>
            <w:tcBorders>
              <w:top w:val="nil"/>
              <w:bottom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322" w:type="dxa"/>
            <w:vMerge w:val="continue"/>
            <w:tcBorders>
              <w:top w:val="nil"/>
              <w:bottom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945"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中医非药物疗法使用率</w:t>
            </w:r>
          </w:p>
        </w:tc>
        <w:tc>
          <w:tcPr>
            <w:tcW w:w="3522"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考核期内医师诊治的出院患者使用中医非药物疗法的比例</w:t>
            </w:r>
          </w:p>
        </w:tc>
        <w:tc>
          <w:tcPr>
            <w:tcW w:w="4744"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考核期内医师诊治的出院患者使用中医非药物疗法数量/中医药物和非药物疗法总数×100%</w:t>
            </w:r>
          </w:p>
        </w:tc>
        <w:tc>
          <w:tcPr>
            <w:tcW w:w="1000" w:type="dxa"/>
            <w:vAlign w:val="center"/>
          </w:tcPr>
          <w:p>
            <w:pPr>
              <w:spacing w:before="60" w:line="235" w:lineRule="auto"/>
              <w:ind w:left="36"/>
              <w:jc w:val="center"/>
              <w:rPr>
                <w:rFonts w:ascii="宋体" w:hAnsi="宋体" w:eastAsia="宋体" w:cs="宋体"/>
                <w:color w:val="auto"/>
                <w:sz w:val="23"/>
                <w:szCs w:val="23"/>
                <w:highlight w:val="none"/>
              </w:rPr>
            </w:pPr>
          </w:p>
        </w:tc>
        <w:tc>
          <w:tcPr>
            <w:tcW w:w="1467"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9" w:hRule="atLeast"/>
        </w:trPr>
        <w:tc>
          <w:tcPr>
            <w:tcW w:w="1233" w:type="dxa"/>
            <w:vMerge w:val="continue"/>
            <w:tcBorders>
              <w:top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322" w:type="dxa"/>
            <w:vMerge w:val="continue"/>
            <w:tcBorders>
              <w:top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945"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中医药治疗疗效</w:t>
            </w:r>
          </w:p>
        </w:tc>
        <w:tc>
          <w:tcPr>
            <w:tcW w:w="3522"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考核期内医师用中医药方法治疗本专业疾病疗效</w:t>
            </w:r>
          </w:p>
        </w:tc>
        <w:tc>
          <w:tcPr>
            <w:tcW w:w="4744"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同行评议</w:t>
            </w:r>
          </w:p>
        </w:tc>
        <w:tc>
          <w:tcPr>
            <w:tcW w:w="1000" w:type="dxa"/>
            <w:vAlign w:val="center"/>
          </w:tcPr>
          <w:p>
            <w:pPr>
              <w:spacing w:before="60" w:line="235" w:lineRule="auto"/>
              <w:ind w:left="36"/>
              <w:jc w:val="center"/>
              <w:rPr>
                <w:rFonts w:ascii="宋体" w:hAnsi="宋体" w:eastAsia="宋体" w:cs="宋体"/>
                <w:color w:val="auto"/>
                <w:sz w:val="23"/>
                <w:szCs w:val="23"/>
                <w:highlight w:val="none"/>
              </w:rPr>
            </w:pPr>
          </w:p>
        </w:tc>
        <w:tc>
          <w:tcPr>
            <w:tcW w:w="1467"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43" w:hRule="atLeast"/>
        </w:trPr>
        <w:tc>
          <w:tcPr>
            <w:tcW w:w="1233"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质量安全</w:t>
            </w:r>
          </w:p>
        </w:tc>
        <w:tc>
          <w:tcPr>
            <w:tcW w:w="1322"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并发症</w:t>
            </w:r>
          </w:p>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发生率</w:t>
            </w:r>
          </w:p>
        </w:tc>
        <w:tc>
          <w:tcPr>
            <w:tcW w:w="1945"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出院患者并发症发生率</w:t>
            </w:r>
          </w:p>
        </w:tc>
        <w:tc>
          <w:tcPr>
            <w:tcW w:w="3522"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考核期内医师诊治的出院患者在住院期间因治疗或者施行某种择期手术或操作而发生并发症的例数占同期医师诊治的出院人数的比例</w:t>
            </w:r>
          </w:p>
        </w:tc>
        <w:tc>
          <w:tcPr>
            <w:tcW w:w="4744"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考核期内医师诊治的出院患者在住院期间因治疗或者施行某种择期手术或操作而发生并发症的人数/同期该医师诊治的所有出院人数×100%</w:t>
            </w:r>
          </w:p>
        </w:tc>
        <w:tc>
          <w:tcPr>
            <w:tcW w:w="1000" w:type="dxa"/>
            <w:vAlign w:val="center"/>
          </w:tcPr>
          <w:p>
            <w:pPr>
              <w:spacing w:before="60" w:line="235" w:lineRule="auto"/>
              <w:ind w:left="36"/>
              <w:jc w:val="center"/>
              <w:rPr>
                <w:rFonts w:ascii="宋体" w:hAnsi="宋体" w:eastAsia="宋体" w:cs="宋体"/>
                <w:color w:val="auto"/>
                <w:sz w:val="23"/>
                <w:szCs w:val="23"/>
                <w:highlight w:val="none"/>
              </w:rPr>
            </w:pPr>
          </w:p>
        </w:tc>
        <w:tc>
          <w:tcPr>
            <w:tcW w:w="1467" w:type="dxa"/>
            <w:vAlign w:val="center"/>
          </w:tcPr>
          <w:p>
            <w:pPr>
              <w:spacing w:before="60" w:line="235" w:lineRule="auto"/>
              <w:ind w:left="36"/>
              <w:jc w:val="center"/>
              <w:rPr>
                <w:rFonts w:ascii="宋体" w:hAnsi="宋体" w:eastAsia="宋体" w:cs="宋体"/>
                <w:color w:val="auto"/>
                <w:sz w:val="23"/>
                <w:szCs w:val="23"/>
                <w:highlight w:val="none"/>
              </w:rPr>
            </w:pPr>
          </w:p>
        </w:tc>
      </w:tr>
    </w:tbl>
    <w:p>
      <w:pPr>
        <w:jc w:val="center"/>
        <w:rPr>
          <w:color w:val="auto"/>
          <w:highlight w:val="none"/>
        </w:rPr>
      </w:pPr>
    </w:p>
    <w:tbl>
      <w:tblPr>
        <w:tblStyle w:val="5"/>
        <w:tblW w:w="15211" w:type="dxa"/>
        <w:tblInd w:w="-4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55"/>
        <w:gridCol w:w="1300"/>
        <w:gridCol w:w="1956"/>
        <w:gridCol w:w="3466"/>
        <w:gridCol w:w="4756"/>
        <w:gridCol w:w="1056"/>
        <w:gridCol w:w="14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4" w:hRule="atLeast"/>
        </w:trPr>
        <w:tc>
          <w:tcPr>
            <w:tcW w:w="1255" w:type="dxa"/>
            <w:vAlign w:val="center"/>
          </w:tcPr>
          <w:p>
            <w:pPr>
              <w:spacing w:before="129" w:line="218" w:lineRule="auto"/>
              <w:ind w:left="78"/>
              <w:jc w:val="center"/>
              <w:rPr>
                <w:rFonts w:ascii="宋体" w:hAnsi="宋体" w:eastAsia="宋体" w:cs="宋体"/>
                <w:color w:val="auto"/>
                <w:sz w:val="23"/>
                <w:szCs w:val="23"/>
                <w:highlight w:val="none"/>
              </w:rPr>
            </w:pPr>
            <w:r>
              <w:rPr>
                <w:rFonts w:ascii="宋体" w:hAnsi="宋体" w:eastAsia="宋体" w:cs="宋体"/>
                <w:b/>
                <w:bCs/>
                <w:color w:val="auto"/>
                <w:spacing w:val="-4"/>
                <w:sz w:val="23"/>
                <w:szCs w:val="23"/>
                <w:highlight w:val="none"/>
              </w:rPr>
              <w:t>评价维度</w:t>
            </w:r>
          </w:p>
        </w:tc>
        <w:tc>
          <w:tcPr>
            <w:tcW w:w="1300" w:type="dxa"/>
            <w:vAlign w:val="center"/>
          </w:tcPr>
          <w:p>
            <w:pPr>
              <w:spacing w:before="111" w:line="220" w:lineRule="auto"/>
              <w:ind w:left="204"/>
              <w:jc w:val="center"/>
              <w:rPr>
                <w:rFonts w:ascii="宋体" w:hAnsi="宋体" w:eastAsia="宋体" w:cs="宋体"/>
                <w:color w:val="auto"/>
                <w:sz w:val="23"/>
                <w:szCs w:val="23"/>
                <w:highlight w:val="none"/>
              </w:rPr>
            </w:pPr>
            <w:r>
              <w:rPr>
                <w:rFonts w:ascii="宋体" w:hAnsi="宋体" w:eastAsia="宋体" w:cs="宋体"/>
                <w:b/>
                <w:bCs/>
                <w:color w:val="auto"/>
                <w:spacing w:val="-5"/>
                <w:sz w:val="23"/>
                <w:szCs w:val="23"/>
                <w:highlight w:val="none"/>
              </w:rPr>
              <w:t>二级指标</w:t>
            </w:r>
          </w:p>
        </w:tc>
        <w:tc>
          <w:tcPr>
            <w:tcW w:w="1956" w:type="dxa"/>
            <w:vAlign w:val="center"/>
          </w:tcPr>
          <w:p>
            <w:pPr>
              <w:spacing w:before="111" w:line="220" w:lineRule="auto"/>
              <w:ind w:left="785"/>
              <w:jc w:val="center"/>
              <w:rPr>
                <w:rFonts w:ascii="宋体" w:hAnsi="宋体" w:eastAsia="宋体" w:cs="宋体"/>
                <w:color w:val="auto"/>
                <w:sz w:val="23"/>
                <w:szCs w:val="23"/>
                <w:highlight w:val="none"/>
              </w:rPr>
            </w:pPr>
            <w:r>
              <w:rPr>
                <w:rFonts w:ascii="宋体" w:hAnsi="宋体" w:eastAsia="宋体" w:cs="宋体"/>
                <w:b/>
                <w:bCs/>
                <w:color w:val="auto"/>
                <w:spacing w:val="-5"/>
                <w:sz w:val="23"/>
                <w:szCs w:val="23"/>
                <w:highlight w:val="none"/>
              </w:rPr>
              <w:t>三级指标</w:t>
            </w:r>
          </w:p>
        </w:tc>
        <w:tc>
          <w:tcPr>
            <w:tcW w:w="3466" w:type="dxa"/>
            <w:vAlign w:val="center"/>
          </w:tcPr>
          <w:p>
            <w:pPr>
              <w:spacing w:before="111" w:line="220" w:lineRule="auto"/>
              <w:jc w:val="center"/>
              <w:rPr>
                <w:rFonts w:ascii="宋体" w:hAnsi="宋体" w:eastAsia="宋体" w:cs="宋体"/>
                <w:color w:val="auto"/>
                <w:sz w:val="23"/>
                <w:szCs w:val="23"/>
                <w:highlight w:val="none"/>
              </w:rPr>
            </w:pPr>
            <w:r>
              <w:rPr>
                <w:rFonts w:ascii="宋体" w:hAnsi="宋体" w:eastAsia="宋体" w:cs="宋体"/>
                <w:b/>
                <w:bCs/>
                <w:color w:val="auto"/>
                <w:spacing w:val="8"/>
                <w:sz w:val="23"/>
                <w:szCs w:val="23"/>
                <w:highlight w:val="none"/>
              </w:rPr>
              <w:t>指标定义</w:t>
            </w:r>
          </w:p>
        </w:tc>
        <w:tc>
          <w:tcPr>
            <w:tcW w:w="4756" w:type="dxa"/>
            <w:vAlign w:val="center"/>
          </w:tcPr>
          <w:p>
            <w:pPr>
              <w:spacing w:before="111" w:line="219" w:lineRule="auto"/>
              <w:ind w:left="1730"/>
              <w:jc w:val="both"/>
              <w:rPr>
                <w:rFonts w:ascii="宋体" w:hAnsi="宋体" w:eastAsia="宋体" w:cs="宋体"/>
                <w:color w:val="auto"/>
                <w:sz w:val="23"/>
                <w:szCs w:val="23"/>
                <w:highlight w:val="none"/>
              </w:rPr>
            </w:pPr>
            <w:r>
              <w:rPr>
                <w:rFonts w:ascii="宋体" w:hAnsi="宋体" w:eastAsia="宋体" w:cs="宋体"/>
                <w:b/>
                <w:bCs/>
                <w:color w:val="auto"/>
                <w:spacing w:val="7"/>
                <w:sz w:val="23"/>
                <w:szCs w:val="23"/>
                <w:highlight w:val="none"/>
              </w:rPr>
              <w:t>计算方法</w:t>
            </w:r>
          </w:p>
        </w:tc>
        <w:tc>
          <w:tcPr>
            <w:tcW w:w="1056" w:type="dxa"/>
            <w:vAlign w:val="center"/>
          </w:tcPr>
          <w:p>
            <w:pPr>
              <w:spacing w:before="101" w:line="219" w:lineRule="auto"/>
              <w:jc w:val="center"/>
              <w:rPr>
                <w:rFonts w:hint="eastAsia" w:ascii="宋体" w:hAnsi="宋体" w:eastAsia="宋体" w:cs="宋体"/>
                <w:b/>
                <w:bCs/>
                <w:snapToGrid w:val="0"/>
                <w:color w:val="auto"/>
                <w:spacing w:val="2"/>
                <w:kern w:val="0"/>
                <w:sz w:val="24"/>
                <w:szCs w:val="24"/>
                <w:highlight w:val="none"/>
                <w:lang w:eastAsia="zh-CN"/>
              </w:rPr>
            </w:pPr>
            <w:r>
              <w:rPr>
                <w:rFonts w:hint="eastAsia" w:ascii="宋体" w:hAnsi="宋体" w:eastAsia="宋体" w:cs="宋体"/>
                <w:b/>
                <w:bCs/>
                <w:color w:val="auto"/>
                <w:spacing w:val="2"/>
                <w:sz w:val="24"/>
                <w:szCs w:val="24"/>
                <w:highlight w:val="none"/>
                <w:lang w:eastAsia="zh-CN"/>
              </w:rPr>
              <w:t>指标完成情况</w:t>
            </w:r>
          </w:p>
        </w:tc>
        <w:tc>
          <w:tcPr>
            <w:tcW w:w="1422" w:type="dxa"/>
            <w:vAlign w:val="center"/>
          </w:tcPr>
          <w:p>
            <w:pPr>
              <w:spacing w:before="101" w:line="219" w:lineRule="auto"/>
              <w:jc w:val="center"/>
              <w:rPr>
                <w:rFonts w:ascii="宋体" w:hAnsi="宋体" w:eastAsia="宋体" w:cs="宋体"/>
                <w:b/>
                <w:bCs/>
                <w:snapToGrid w:val="0"/>
                <w:color w:val="auto"/>
                <w:spacing w:val="2"/>
                <w:kern w:val="0"/>
                <w:sz w:val="24"/>
                <w:szCs w:val="24"/>
                <w:highlight w:val="none"/>
              </w:rPr>
            </w:pPr>
            <w:r>
              <w:rPr>
                <w:rFonts w:hint="eastAsia" w:ascii="宋体" w:hAnsi="宋体" w:eastAsia="宋体" w:cs="宋体"/>
                <w:b/>
                <w:bCs/>
                <w:color w:val="auto"/>
                <w:spacing w:val="7"/>
                <w:sz w:val="24"/>
                <w:szCs w:val="24"/>
                <w:highlight w:val="none"/>
                <w:lang w:eastAsia="zh-CN"/>
              </w:rPr>
              <w:t>责任科室负责人签字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8" w:hRule="atLeast"/>
        </w:trPr>
        <w:tc>
          <w:tcPr>
            <w:tcW w:w="1255"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资源利用</w:t>
            </w:r>
          </w:p>
        </w:tc>
        <w:tc>
          <w:tcPr>
            <w:tcW w:w="1300"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平均</w:t>
            </w:r>
          </w:p>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住院日</w:t>
            </w:r>
          </w:p>
        </w:tc>
        <w:tc>
          <w:tcPr>
            <w:tcW w:w="1956"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平均住院日</w:t>
            </w:r>
          </w:p>
        </w:tc>
        <w:tc>
          <w:tcPr>
            <w:tcW w:w="3466"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考核期内医师诊治的某病种出院患者平均住院时间</w:t>
            </w:r>
          </w:p>
        </w:tc>
        <w:tc>
          <w:tcPr>
            <w:tcW w:w="4756"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考核期内医师诊治的某病种出院患者占用总床日数/同期该医师诊治的同病种出院人数</w:t>
            </w:r>
          </w:p>
        </w:tc>
        <w:tc>
          <w:tcPr>
            <w:tcW w:w="1056" w:type="dxa"/>
            <w:vAlign w:val="center"/>
          </w:tcPr>
          <w:p>
            <w:pPr>
              <w:spacing w:before="60" w:line="235" w:lineRule="auto"/>
              <w:ind w:left="36"/>
              <w:jc w:val="center"/>
              <w:rPr>
                <w:rFonts w:ascii="宋体" w:hAnsi="宋体" w:eastAsia="宋体" w:cs="宋体"/>
                <w:color w:val="auto"/>
                <w:sz w:val="23"/>
                <w:szCs w:val="23"/>
                <w:highlight w:val="none"/>
              </w:rPr>
            </w:pPr>
          </w:p>
        </w:tc>
        <w:tc>
          <w:tcPr>
            <w:tcW w:w="1422"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8" w:hRule="atLeast"/>
        </w:trPr>
        <w:tc>
          <w:tcPr>
            <w:tcW w:w="1255" w:type="dxa"/>
            <w:vAlign w:val="center"/>
          </w:tcPr>
          <w:p>
            <w:pPr>
              <w:spacing w:before="60" w:line="235" w:lineRule="auto"/>
              <w:ind w:left="36"/>
              <w:jc w:val="center"/>
              <w:rPr>
                <w:rFonts w:ascii="宋体" w:hAnsi="宋体" w:eastAsia="宋体" w:cs="宋体"/>
                <w:color w:val="auto"/>
                <w:sz w:val="23"/>
                <w:szCs w:val="23"/>
                <w:highlight w:val="none"/>
              </w:rPr>
            </w:pPr>
          </w:p>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患者管理</w:t>
            </w:r>
          </w:p>
        </w:tc>
        <w:tc>
          <w:tcPr>
            <w:tcW w:w="1300"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次均费用</w:t>
            </w:r>
          </w:p>
        </w:tc>
        <w:tc>
          <w:tcPr>
            <w:tcW w:w="1956"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住院患者次均费用</w:t>
            </w:r>
          </w:p>
        </w:tc>
        <w:tc>
          <w:tcPr>
            <w:tcW w:w="3466"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考核期内医师诊治的某病种出院患者平均住院费用</w:t>
            </w:r>
          </w:p>
        </w:tc>
        <w:tc>
          <w:tcPr>
            <w:tcW w:w="4756"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考核期内医师诊治的某病种出院患者总住院费用/同期该医师诊治的同病种出院人数</w:t>
            </w:r>
          </w:p>
        </w:tc>
        <w:tc>
          <w:tcPr>
            <w:tcW w:w="1056" w:type="dxa"/>
            <w:vAlign w:val="center"/>
          </w:tcPr>
          <w:p>
            <w:pPr>
              <w:spacing w:before="60" w:line="235" w:lineRule="auto"/>
              <w:ind w:left="36"/>
              <w:jc w:val="center"/>
              <w:rPr>
                <w:rFonts w:ascii="宋体" w:hAnsi="宋体" w:eastAsia="宋体" w:cs="宋体"/>
                <w:color w:val="auto"/>
                <w:sz w:val="23"/>
                <w:szCs w:val="23"/>
                <w:highlight w:val="none"/>
              </w:rPr>
            </w:pPr>
          </w:p>
        </w:tc>
        <w:tc>
          <w:tcPr>
            <w:tcW w:w="1422"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 w:hRule="atLeast"/>
        </w:trPr>
        <w:tc>
          <w:tcPr>
            <w:tcW w:w="1255" w:type="dxa"/>
            <w:vMerge w:val="restart"/>
            <w:tcBorders>
              <w:bottom w:val="nil"/>
            </w:tcBorders>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教学科普</w:t>
            </w:r>
          </w:p>
        </w:tc>
        <w:tc>
          <w:tcPr>
            <w:tcW w:w="1300" w:type="dxa"/>
            <w:vMerge w:val="restart"/>
            <w:tcBorders>
              <w:bottom w:val="nil"/>
            </w:tcBorders>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教学讲座</w:t>
            </w:r>
          </w:p>
        </w:tc>
        <w:tc>
          <w:tcPr>
            <w:tcW w:w="1956"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指导、带教和授课、教学</w:t>
            </w:r>
          </w:p>
        </w:tc>
        <w:tc>
          <w:tcPr>
            <w:tcW w:w="3466"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晋升周期内指导、带教人数，专业授课、教学次数</w:t>
            </w:r>
          </w:p>
        </w:tc>
        <w:tc>
          <w:tcPr>
            <w:tcW w:w="4756"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指导和带教人次，授课教学次数</w:t>
            </w:r>
          </w:p>
        </w:tc>
        <w:tc>
          <w:tcPr>
            <w:tcW w:w="1056" w:type="dxa"/>
            <w:vAlign w:val="center"/>
          </w:tcPr>
          <w:p>
            <w:pPr>
              <w:spacing w:before="60" w:line="235" w:lineRule="auto"/>
              <w:ind w:left="36"/>
              <w:jc w:val="center"/>
              <w:rPr>
                <w:rFonts w:ascii="宋体" w:hAnsi="宋体" w:eastAsia="宋体" w:cs="宋体"/>
                <w:color w:val="auto"/>
                <w:sz w:val="23"/>
                <w:szCs w:val="23"/>
                <w:highlight w:val="none"/>
              </w:rPr>
            </w:pPr>
          </w:p>
        </w:tc>
        <w:tc>
          <w:tcPr>
            <w:tcW w:w="1422"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8" w:hRule="atLeast"/>
        </w:trPr>
        <w:tc>
          <w:tcPr>
            <w:tcW w:w="1255" w:type="dxa"/>
            <w:vMerge w:val="continue"/>
            <w:tcBorders>
              <w:top w:val="nil"/>
              <w:bottom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300" w:type="dxa"/>
            <w:vMerge w:val="continue"/>
            <w:tcBorders>
              <w:top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956"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专题讲座或科普</w:t>
            </w:r>
          </w:p>
        </w:tc>
        <w:tc>
          <w:tcPr>
            <w:tcW w:w="3466"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面向社会、学生和医务工作者等讲授本专业领域的专题讲座/科普</w:t>
            </w:r>
          </w:p>
        </w:tc>
        <w:tc>
          <w:tcPr>
            <w:tcW w:w="4756"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以议程为准(次)</w:t>
            </w:r>
          </w:p>
        </w:tc>
        <w:tc>
          <w:tcPr>
            <w:tcW w:w="1056" w:type="dxa"/>
            <w:vAlign w:val="center"/>
          </w:tcPr>
          <w:p>
            <w:pPr>
              <w:spacing w:before="60" w:line="235" w:lineRule="auto"/>
              <w:ind w:left="36"/>
              <w:jc w:val="center"/>
              <w:rPr>
                <w:rFonts w:ascii="宋体" w:hAnsi="宋体" w:eastAsia="宋体" w:cs="宋体"/>
                <w:color w:val="auto"/>
                <w:sz w:val="23"/>
                <w:szCs w:val="23"/>
                <w:highlight w:val="none"/>
              </w:rPr>
            </w:pPr>
          </w:p>
        </w:tc>
        <w:tc>
          <w:tcPr>
            <w:tcW w:w="1422"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3" w:hRule="atLeast"/>
        </w:trPr>
        <w:tc>
          <w:tcPr>
            <w:tcW w:w="1255" w:type="dxa"/>
            <w:vMerge w:val="continue"/>
            <w:tcBorders>
              <w:top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300"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健康宣教</w:t>
            </w:r>
          </w:p>
        </w:tc>
        <w:tc>
          <w:tcPr>
            <w:tcW w:w="1956"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开展健康教育与健康促进活动能力</w:t>
            </w:r>
          </w:p>
        </w:tc>
        <w:tc>
          <w:tcPr>
            <w:tcW w:w="3466"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参与和指导完成各级健康教育与健康促进活动的数量</w:t>
            </w:r>
          </w:p>
        </w:tc>
        <w:tc>
          <w:tcPr>
            <w:tcW w:w="4756"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完成健康教育与健康促进活动数量</w:t>
            </w:r>
          </w:p>
        </w:tc>
        <w:tc>
          <w:tcPr>
            <w:tcW w:w="1056" w:type="dxa"/>
            <w:vAlign w:val="center"/>
          </w:tcPr>
          <w:p>
            <w:pPr>
              <w:spacing w:before="60" w:line="235" w:lineRule="auto"/>
              <w:ind w:left="36"/>
              <w:jc w:val="center"/>
              <w:rPr>
                <w:rFonts w:ascii="宋体" w:hAnsi="宋体" w:eastAsia="宋体" w:cs="宋体"/>
                <w:color w:val="auto"/>
                <w:sz w:val="23"/>
                <w:szCs w:val="23"/>
                <w:highlight w:val="none"/>
              </w:rPr>
            </w:pPr>
          </w:p>
        </w:tc>
        <w:tc>
          <w:tcPr>
            <w:tcW w:w="1422" w:type="dxa"/>
            <w:vAlign w:val="center"/>
          </w:tcPr>
          <w:p>
            <w:pPr>
              <w:spacing w:before="60" w:line="235" w:lineRule="auto"/>
              <w:ind w:left="36"/>
              <w:jc w:val="center"/>
              <w:rPr>
                <w:rFonts w:ascii="宋体" w:hAnsi="宋体" w:eastAsia="宋体" w:cs="宋体"/>
                <w:color w:val="auto"/>
                <w:sz w:val="23"/>
                <w:szCs w:val="23"/>
                <w:highlight w:val="none"/>
              </w:rPr>
            </w:pPr>
          </w:p>
        </w:tc>
      </w:tr>
    </w:tbl>
    <w:p>
      <w:pPr>
        <w:spacing w:before="93" w:line="219" w:lineRule="auto"/>
        <w:ind w:left="285"/>
        <w:jc w:val="left"/>
        <w:rPr>
          <w:rFonts w:ascii="宋体" w:hAnsi="宋体" w:eastAsia="宋体" w:cs="宋体"/>
          <w:color w:val="auto"/>
          <w:sz w:val="23"/>
          <w:szCs w:val="23"/>
          <w:highlight w:val="none"/>
        </w:rPr>
      </w:pPr>
      <w:r>
        <w:rPr>
          <w:rFonts w:ascii="宋体" w:hAnsi="宋体" w:eastAsia="宋体" w:cs="宋体"/>
          <w:color w:val="auto"/>
          <w:sz w:val="23"/>
          <w:szCs w:val="23"/>
          <w:highlight w:val="none"/>
        </w:rPr>
        <w:t>注：1.某专业基本病种、疑难病种、基本手术、疑难手术由专家共识和大数据统计结果形成。</w:t>
      </w:r>
    </w:p>
    <w:p>
      <w:pPr>
        <w:spacing w:before="76" w:line="248" w:lineRule="auto"/>
        <w:ind w:left="1193" w:right="830" w:hanging="429"/>
        <w:jc w:val="left"/>
        <w:rPr>
          <w:rFonts w:ascii="宋体" w:hAnsi="宋体" w:eastAsia="宋体" w:cs="宋体"/>
          <w:color w:val="auto"/>
          <w:sz w:val="23"/>
          <w:szCs w:val="23"/>
          <w:highlight w:val="none"/>
        </w:rPr>
      </w:pPr>
      <w:r>
        <w:rPr>
          <w:rFonts w:ascii="宋体" w:hAnsi="宋体" w:eastAsia="宋体" w:cs="宋体"/>
          <w:color w:val="auto"/>
          <w:spacing w:val="6"/>
          <w:sz w:val="23"/>
          <w:szCs w:val="23"/>
          <w:highlight w:val="none"/>
        </w:rPr>
        <w:t>2.手术人次计算：患者在1次住院期间施行多次手术，按实际手术次数统计；在1次手术中涉及多个部位手术的按1</w:t>
      </w:r>
      <w:r>
        <w:rPr>
          <w:rFonts w:ascii="宋体" w:hAnsi="宋体" w:eastAsia="宋体" w:cs="宋体"/>
          <w:color w:val="auto"/>
          <w:spacing w:val="-4"/>
          <w:sz w:val="23"/>
          <w:szCs w:val="23"/>
          <w:highlight w:val="none"/>
        </w:rPr>
        <w:t>次统计。</w:t>
      </w:r>
    </w:p>
    <w:p>
      <w:pPr>
        <w:spacing w:before="75" w:line="219" w:lineRule="auto"/>
        <w:ind w:left="764"/>
        <w:jc w:val="left"/>
        <w:rPr>
          <w:rFonts w:ascii="宋体" w:hAnsi="宋体" w:eastAsia="宋体" w:cs="宋体"/>
          <w:color w:val="auto"/>
          <w:sz w:val="23"/>
          <w:szCs w:val="23"/>
          <w:highlight w:val="none"/>
        </w:rPr>
      </w:pPr>
      <w:r>
        <w:rPr>
          <w:rFonts w:ascii="宋体" w:hAnsi="宋体" w:eastAsia="宋体" w:cs="宋体"/>
          <w:color w:val="auto"/>
          <w:sz w:val="23"/>
          <w:szCs w:val="23"/>
          <w:highlight w:val="none"/>
        </w:rPr>
        <w:t>3.中药饮片处方比和中医非药物疗法使用率两个指标可任选其一，也可同时使</w:t>
      </w:r>
      <w:r>
        <w:rPr>
          <w:rFonts w:ascii="宋体" w:hAnsi="宋体" w:eastAsia="宋体" w:cs="宋体"/>
          <w:color w:val="auto"/>
          <w:spacing w:val="-1"/>
          <w:sz w:val="23"/>
          <w:szCs w:val="23"/>
          <w:highlight w:val="none"/>
        </w:rPr>
        <w:t>用，视各地具体情况确定。</w:t>
      </w:r>
    </w:p>
    <w:p>
      <w:pPr>
        <w:jc w:val="left"/>
        <w:rPr>
          <w:color w:val="auto"/>
          <w:highlight w:val="none"/>
        </w:rPr>
        <w:sectPr>
          <w:pgSz w:w="16840" w:h="11910"/>
          <w:pgMar w:top="1012" w:right="1444" w:bottom="1553" w:left="1405" w:header="0" w:footer="1265" w:gutter="0"/>
          <w:cols w:space="720" w:num="1"/>
        </w:sectPr>
      </w:pPr>
    </w:p>
    <w:p>
      <w:pPr>
        <w:spacing w:before="166" w:line="218" w:lineRule="auto"/>
        <w:jc w:val="center"/>
        <w:rPr>
          <w:rFonts w:hint="eastAsia" w:ascii="方正小标宋简体" w:hAnsi="方正小标宋简体" w:eastAsia="方正小标宋简体" w:cs="方正小标宋简体"/>
          <w:b w:val="0"/>
          <w:bCs w:val="0"/>
          <w:color w:val="auto"/>
          <w:spacing w:val="-5"/>
          <w:sz w:val="38"/>
          <w:szCs w:val="38"/>
          <w:highlight w:val="none"/>
          <w:lang w:eastAsia="zh-CN"/>
        </w:rPr>
      </w:pPr>
      <w:r>
        <w:rPr>
          <w:rFonts w:hint="eastAsia" w:ascii="方正小标宋简体" w:hAnsi="方正小标宋简体" w:eastAsia="方正小标宋简体" w:cs="方正小标宋简体"/>
          <w:b w:val="0"/>
          <w:bCs w:val="0"/>
          <w:color w:val="auto"/>
          <w:spacing w:val="-5"/>
          <w:sz w:val="38"/>
          <w:szCs w:val="38"/>
          <w:highlight w:val="none"/>
        </w:rPr>
        <w:t>药学专业</w:t>
      </w:r>
      <w:r>
        <w:rPr>
          <w:rFonts w:hint="eastAsia" w:ascii="方正小标宋简体" w:hAnsi="方正小标宋简体" w:eastAsia="方正小标宋简体" w:cs="方正小标宋简体"/>
          <w:b w:val="0"/>
          <w:bCs w:val="0"/>
          <w:color w:val="auto"/>
          <w:spacing w:val="-5"/>
          <w:sz w:val="38"/>
          <w:szCs w:val="38"/>
          <w:highlight w:val="none"/>
          <w:lang w:eastAsia="zh-CN"/>
        </w:rPr>
        <w:t>高级职称评价指标核定表</w:t>
      </w:r>
    </w:p>
    <w:p>
      <w:pPr>
        <w:spacing w:before="154" w:line="218" w:lineRule="auto"/>
        <w:jc w:val="left"/>
        <w:rPr>
          <w:color w:val="auto"/>
          <w:highlight w:val="none"/>
        </w:rPr>
      </w:pPr>
      <w:r>
        <w:rPr>
          <w:rFonts w:hint="eastAsia" w:ascii="宋体" w:hAnsi="宋体" w:eastAsia="宋体" w:cs="宋体"/>
          <w:b/>
          <w:bCs/>
          <w:color w:val="auto"/>
          <w:spacing w:val="-4"/>
          <w:sz w:val="24"/>
          <w:szCs w:val="24"/>
          <w:highlight w:val="none"/>
          <w:lang w:eastAsia="zh-CN"/>
        </w:rPr>
        <w:t>申报单位：（盖章）</w:t>
      </w:r>
      <w:r>
        <w:rPr>
          <w:rFonts w:hint="eastAsia" w:ascii="宋体" w:hAnsi="宋体" w:eastAsia="宋体" w:cs="宋体"/>
          <w:b/>
          <w:bCs/>
          <w:color w:val="auto"/>
          <w:spacing w:val="-4"/>
          <w:sz w:val="24"/>
          <w:szCs w:val="24"/>
          <w:highlight w:val="none"/>
          <w:lang w:val="en-US" w:eastAsia="zh-CN"/>
        </w:rPr>
        <w:t xml:space="preserve">                                  申报人姓名：                             申报专业技术职务：</w:t>
      </w:r>
    </w:p>
    <w:p>
      <w:pPr>
        <w:spacing w:line="25" w:lineRule="exact"/>
        <w:jc w:val="center"/>
        <w:rPr>
          <w:color w:val="auto"/>
          <w:highlight w:val="none"/>
        </w:rPr>
      </w:pPr>
    </w:p>
    <w:tbl>
      <w:tblPr>
        <w:tblStyle w:val="5"/>
        <w:tblW w:w="1505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26"/>
        <w:gridCol w:w="1176"/>
        <w:gridCol w:w="1745"/>
        <w:gridCol w:w="3800"/>
        <w:gridCol w:w="4537"/>
        <w:gridCol w:w="1044"/>
        <w:gridCol w:w="11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4" w:hRule="atLeast"/>
          <w:jc w:val="center"/>
        </w:trPr>
        <w:tc>
          <w:tcPr>
            <w:tcW w:w="1626" w:type="dxa"/>
            <w:vAlign w:val="center"/>
          </w:tcPr>
          <w:p>
            <w:pPr>
              <w:spacing w:before="169" w:line="218" w:lineRule="auto"/>
              <w:ind w:left="88"/>
              <w:jc w:val="center"/>
              <w:rPr>
                <w:rFonts w:hint="eastAsia" w:asciiTheme="majorEastAsia" w:hAnsiTheme="majorEastAsia" w:eastAsiaTheme="majorEastAsia" w:cstheme="majorEastAsia"/>
                <w:color w:val="auto"/>
                <w:sz w:val="23"/>
                <w:szCs w:val="23"/>
                <w:highlight w:val="none"/>
              </w:rPr>
            </w:pPr>
            <w:r>
              <w:rPr>
                <w:rFonts w:hint="eastAsia" w:asciiTheme="majorEastAsia" w:hAnsiTheme="majorEastAsia" w:eastAsiaTheme="majorEastAsia" w:cstheme="majorEastAsia"/>
                <w:b/>
                <w:bCs/>
                <w:color w:val="auto"/>
                <w:spacing w:val="-5"/>
                <w:sz w:val="23"/>
                <w:szCs w:val="23"/>
                <w:highlight w:val="none"/>
              </w:rPr>
              <w:t>评价维度</w:t>
            </w:r>
          </w:p>
        </w:tc>
        <w:tc>
          <w:tcPr>
            <w:tcW w:w="1176" w:type="dxa"/>
            <w:vAlign w:val="center"/>
          </w:tcPr>
          <w:p>
            <w:pPr>
              <w:spacing w:before="172" w:line="220" w:lineRule="auto"/>
              <w:ind w:left="144"/>
              <w:jc w:val="center"/>
              <w:rPr>
                <w:rFonts w:hint="eastAsia" w:asciiTheme="majorEastAsia" w:hAnsiTheme="majorEastAsia" w:eastAsiaTheme="majorEastAsia" w:cstheme="majorEastAsia"/>
                <w:color w:val="auto"/>
                <w:sz w:val="23"/>
                <w:szCs w:val="23"/>
                <w:highlight w:val="none"/>
              </w:rPr>
            </w:pPr>
            <w:r>
              <w:rPr>
                <w:rFonts w:hint="eastAsia" w:asciiTheme="majorEastAsia" w:hAnsiTheme="majorEastAsia" w:eastAsiaTheme="majorEastAsia" w:cstheme="majorEastAsia"/>
                <w:b/>
                <w:bCs/>
                <w:color w:val="auto"/>
                <w:spacing w:val="-5"/>
                <w:sz w:val="23"/>
                <w:szCs w:val="23"/>
                <w:highlight w:val="none"/>
              </w:rPr>
              <w:t>二级指标</w:t>
            </w:r>
          </w:p>
        </w:tc>
        <w:tc>
          <w:tcPr>
            <w:tcW w:w="1745" w:type="dxa"/>
            <w:vAlign w:val="center"/>
          </w:tcPr>
          <w:p>
            <w:pPr>
              <w:spacing w:before="172" w:line="220" w:lineRule="auto"/>
              <w:jc w:val="center"/>
              <w:rPr>
                <w:rFonts w:hint="eastAsia" w:asciiTheme="majorEastAsia" w:hAnsiTheme="majorEastAsia" w:eastAsiaTheme="majorEastAsia" w:cstheme="majorEastAsia"/>
                <w:color w:val="auto"/>
                <w:sz w:val="23"/>
                <w:szCs w:val="23"/>
                <w:highlight w:val="none"/>
              </w:rPr>
            </w:pPr>
            <w:r>
              <w:rPr>
                <w:rFonts w:hint="eastAsia" w:asciiTheme="majorEastAsia" w:hAnsiTheme="majorEastAsia" w:eastAsiaTheme="majorEastAsia" w:cstheme="majorEastAsia"/>
                <w:b/>
                <w:bCs/>
                <w:color w:val="auto"/>
                <w:spacing w:val="-5"/>
                <w:sz w:val="23"/>
                <w:szCs w:val="23"/>
                <w:highlight w:val="none"/>
              </w:rPr>
              <w:t>三级指标</w:t>
            </w:r>
          </w:p>
        </w:tc>
        <w:tc>
          <w:tcPr>
            <w:tcW w:w="3800" w:type="dxa"/>
            <w:vAlign w:val="center"/>
          </w:tcPr>
          <w:p>
            <w:pPr>
              <w:spacing w:before="172" w:line="220" w:lineRule="auto"/>
              <w:jc w:val="center"/>
              <w:rPr>
                <w:rFonts w:hint="eastAsia" w:asciiTheme="majorEastAsia" w:hAnsiTheme="majorEastAsia" w:eastAsiaTheme="majorEastAsia" w:cstheme="majorEastAsia"/>
                <w:color w:val="auto"/>
                <w:sz w:val="23"/>
                <w:szCs w:val="23"/>
                <w:highlight w:val="none"/>
              </w:rPr>
            </w:pPr>
            <w:r>
              <w:rPr>
                <w:rFonts w:hint="eastAsia" w:asciiTheme="majorEastAsia" w:hAnsiTheme="majorEastAsia" w:eastAsiaTheme="majorEastAsia" w:cstheme="majorEastAsia"/>
                <w:b/>
                <w:bCs/>
                <w:color w:val="auto"/>
                <w:spacing w:val="-5"/>
                <w:sz w:val="23"/>
                <w:szCs w:val="23"/>
                <w:highlight w:val="none"/>
              </w:rPr>
              <w:t>指标定义</w:t>
            </w:r>
          </w:p>
        </w:tc>
        <w:tc>
          <w:tcPr>
            <w:tcW w:w="4537" w:type="dxa"/>
            <w:vAlign w:val="center"/>
          </w:tcPr>
          <w:p>
            <w:pPr>
              <w:spacing w:before="171" w:line="219" w:lineRule="auto"/>
              <w:jc w:val="center"/>
              <w:rPr>
                <w:rFonts w:hint="eastAsia" w:asciiTheme="majorEastAsia" w:hAnsiTheme="majorEastAsia" w:eastAsiaTheme="majorEastAsia" w:cstheme="majorEastAsia"/>
                <w:color w:val="auto"/>
                <w:sz w:val="23"/>
                <w:szCs w:val="23"/>
                <w:highlight w:val="none"/>
              </w:rPr>
            </w:pPr>
            <w:r>
              <w:rPr>
                <w:rFonts w:hint="eastAsia" w:asciiTheme="majorEastAsia" w:hAnsiTheme="majorEastAsia" w:eastAsiaTheme="majorEastAsia" w:cstheme="majorEastAsia"/>
                <w:b/>
                <w:bCs/>
                <w:color w:val="auto"/>
                <w:spacing w:val="17"/>
                <w:sz w:val="23"/>
                <w:szCs w:val="23"/>
                <w:highlight w:val="none"/>
              </w:rPr>
              <w:t>计算方法</w:t>
            </w:r>
          </w:p>
        </w:tc>
        <w:tc>
          <w:tcPr>
            <w:tcW w:w="1044" w:type="dxa"/>
            <w:vAlign w:val="center"/>
          </w:tcPr>
          <w:p>
            <w:pPr>
              <w:spacing w:before="101" w:line="219" w:lineRule="auto"/>
              <w:jc w:val="center"/>
              <w:rPr>
                <w:rFonts w:hint="eastAsia" w:asciiTheme="majorEastAsia" w:hAnsiTheme="majorEastAsia" w:eastAsiaTheme="majorEastAsia" w:cstheme="majorEastAsia"/>
                <w:b/>
                <w:bCs/>
                <w:snapToGrid w:val="0"/>
                <w:color w:val="auto"/>
                <w:spacing w:val="2"/>
                <w:kern w:val="0"/>
                <w:sz w:val="23"/>
                <w:szCs w:val="23"/>
                <w:highlight w:val="none"/>
                <w:lang w:eastAsia="zh-CN"/>
              </w:rPr>
            </w:pPr>
            <w:r>
              <w:rPr>
                <w:rFonts w:hint="eastAsia" w:asciiTheme="majorEastAsia" w:hAnsiTheme="majorEastAsia" w:eastAsiaTheme="majorEastAsia" w:cstheme="majorEastAsia"/>
                <w:b/>
                <w:bCs/>
                <w:color w:val="auto"/>
                <w:spacing w:val="2"/>
                <w:sz w:val="23"/>
                <w:szCs w:val="23"/>
                <w:highlight w:val="none"/>
                <w:lang w:eastAsia="zh-CN"/>
              </w:rPr>
              <w:t>指标完成情况</w:t>
            </w:r>
          </w:p>
        </w:tc>
        <w:tc>
          <w:tcPr>
            <w:tcW w:w="1125" w:type="dxa"/>
            <w:vAlign w:val="center"/>
          </w:tcPr>
          <w:p>
            <w:pPr>
              <w:spacing w:before="101" w:line="219" w:lineRule="auto"/>
              <w:jc w:val="center"/>
              <w:rPr>
                <w:rFonts w:hint="eastAsia" w:asciiTheme="majorEastAsia" w:hAnsiTheme="majorEastAsia" w:eastAsiaTheme="majorEastAsia" w:cstheme="majorEastAsia"/>
                <w:b/>
                <w:bCs/>
                <w:snapToGrid w:val="0"/>
                <w:color w:val="auto"/>
                <w:spacing w:val="2"/>
                <w:kern w:val="0"/>
                <w:sz w:val="23"/>
                <w:szCs w:val="23"/>
                <w:highlight w:val="none"/>
              </w:rPr>
            </w:pPr>
            <w:r>
              <w:rPr>
                <w:rFonts w:hint="eastAsia" w:asciiTheme="majorEastAsia" w:hAnsiTheme="majorEastAsia" w:eastAsiaTheme="majorEastAsia" w:cstheme="majorEastAsia"/>
                <w:b/>
                <w:bCs/>
                <w:color w:val="auto"/>
                <w:spacing w:val="7"/>
                <w:sz w:val="23"/>
                <w:szCs w:val="23"/>
                <w:highlight w:val="none"/>
                <w:lang w:eastAsia="zh-CN"/>
              </w:rPr>
              <w:t>责任科室负责人签字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9" w:hRule="atLeast"/>
          <w:jc w:val="center"/>
        </w:trPr>
        <w:tc>
          <w:tcPr>
            <w:tcW w:w="1626" w:type="dxa"/>
            <w:vMerge w:val="restart"/>
            <w:tcBorders>
              <w:bottom w:val="nil"/>
            </w:tcBorders>
            <w:vAlign w:val="center"/>
          </w:tcPr>
          <w:p>
            <w:pPr>
              <w:spacing w:before="60" w:line="235" w:lineRule="auto"/>
              <w:ind w:left="36"/>
              <w:jc w:val="center"/>
              <w:rPr>
                <w:rFonts w:hint="eastAsia" w:asciiTheme="majorEastAsia" w:hAnsiTheme="majorEastAsia" w:eastAsiaTheme="majorEastAsia" w:cstheme="majorEastAsia"/>
                <w:color w:val="auto"/>
                <w:sz w:val="23"/>
                <w:szCs w:val="23"/>
                <w:highlight w:val="none"/>
              </w:rPr>
            </w:pPr>
          </w:p>
          <w:p>
            <w:pPr>
              <w:spacing w:before="60" w:line="235" w:lineRule="auto"/>
              <w:ind w:left="36"/>
              <w:jc w:val="center"/>
              <w:rPr>
                <w:rFonts w:hint="eastAsia" w:asciiTheme="majorEastAsia" w:hAnsiTheme="majorEastAsia" w:eastAsiaTheme="majorEastAsia" w:cstheme="majorEastAsia"/>
                <w:color w:val="auto"/>
                <w:sz w:val="23"/>
                <w:szCs w:val="23"/>
                <w:highlight w:val="none"/>
              </w:rPr>
            </w:pPr>
          </w:p>
          <w:p>
            <w:pPr>
              <w:spacing w:before="60" w:line="235" w:lineRule="auto"/>
              <w:ind w:left="36"/>
              <w:jc w:val="center"/>
              <w:rPr>
                <w:rFonts w:hint="eastAsia" w:asciiTheme="majorEastAsia" w:hAnsiTheme="majorEastAsia" w:eastAsiaTheme="majorEastAsia" w:cstheme="majorEastAsia"/>
                <w:color w:val="auto"/>
                <w:sz w:val="23"/>
                <w:szCs w:val="23"/>
                <w:highlight w:val="none"/>
              </w:rPr>
            </w:pPr>
          </w:p>
          <w:p>
            <w:pPr>
              <w:spacing w:before="60" w:line="235" w:lineRule="auto"/>
              <w:ind w:left="36"/>
              <w:jc w:val="center"/>
              <w:rPr>
                <w:rFonts w:hint="eastAsia" w:asciiTheme="majorEastAsia" w:hAnsiTheme="majorEastAsia" w:eastAsiaTheme="majorEastAsia" w:cstheme="majorEastAsia"/>
                <w:color w:val="auto"/>
                <w:sz w:val="23"/>
                <w:szCs w:val="23"/>
                <w:highlight w:val="none"/>
              </w:rPr>
            </w:pPr>
            <w:r>
              <w:rPr>
                <w:rFonts w:hint="eastAsia" w:asciiTheme="majorEastAsia" w:hAnsiTheme="majorEastAsia" w:eastAsiaTheme="majorEastAsia" w:cstheme="majorEastAsia"/>
                <w:color w:val="auto"/>
                <w:sz w:val="23"/>
                <w:szCs w:val="23"/>
                <w:highlight w:val="none"/>
              </w:rPr>
              <w:t>技术能力(需至少满足2项</w:t>
            </w:r>
          </w:p>
          <w:p>
            <w:pPr>
              <w:spacing w:before="60" w:line="235" w:lineRule="auto"/>
              <w:ind w:left="36"/>
              <w:jc w:val="center"/>
              <w:rPr>
                <w:rFonts w:hint="eastAsia" w:asciiTheme="majorEastAsia" w:hAnsiTheme="majorEastAsia" w:eastAsiaTheme="majorEastAsia" w:cstheme="majorEastAsia"/>
                <w:color w:val="auto"/>
                <w:sz w:val="23"/>
                <w:szCs w:val="23"/>
                <w:highlight w:val="none"/>
              </w:rPr>
            </w:pPr>
            <w:r>
              <w:rPr>
                <w:rFonts w:hint="eastAsia" w:asciiTheme="majorEastAsia" w:hAnsiTheme="majorEastAsia" w:eastAsiaTheme="majorEastAsia" w:cstheme="majorEastAsia"/>
                <w:color w:val="auto"/>
                <w:sz w:val="23"/>
                <w:szCs w:val="23"/>
                <w:highlight w:val="none"/>
              </w:rPr>
              <w:t>二级指</w:t>
            </w:r>
          </w:p>
          <w:p>
            <w:pPr>
              <w:spacing w:before="60" w:line="235" w:lineRule="auto"/>
              <w:ind w:left="36"/>
              <w:jc w:val="center"/>
              <w:rPr>
                <w:rFonts w:hint="eastAsia" w:asciiTheme="majorEastAsia" w:hAnsiTheme="majorEastAsia" w:eastAsiaTheme="majorEastAsia" w:cstheme="majorEastAsia"/>
                <w:color w:val="auto"/>
                <w:sz w:val="23"/>
                <w:szCs w:val="23"/>
                <w:highlight w:val="none"/>
              </w:rPr>
            </w:pPr>
            <w:r>
              <w:rPr>
                <w:rFonts w:hint="eastAsia" w:asciiTheme="majorEastAsia" w:hAnsiTheme="majorEastAsia" w:eastAsiaTheme="majorEastAsia" w:cstheme="majorEastAsia"/>
                <w:color w:val="auto"/>
                <w:sz w:val="23"/>
                <w:szCs w:val="23"/>
                <w:highlight w:val="none"/>
              </w:rPr>
              <w:t>标)</w:t>
            </w:r>
          </w:p>
        </w:tc>
        <w:tc>
          <w:tcPr>
            <w:tcW w:w="1176" w:type="dxa"/>
            <w:vAlign w:val="center"/>
          </w:tcPr>
          <w:p>
            <w:pPr>
              <w:spacing w:before="60" w:line="235" w:lineRule="auto"/>
              <w:ind w:left="36"/>
              <w:jc w:val="center"/>
              <w:rPr>
                <w:rFonts w:hint="eastAsia" w:asciiTheme="majorEastAsia" w:hAnsiTheme="majorEastAsia" w:eastAsiaTheme="majorEastAsia" w:cstheme="majorEastAsia"/>
                <w:color w:val="auto"/>
                <w:sz w:val="23"/>
                <w:szCs w:val="23"/>
                <w:highlight w:val="none"/>
              </w:rPr>
            </w:pPr>
            <w:r>
              <w:rPr>
                <w:rFonts w:hint="eastAsia" w:asciiTheme="majorEastAsia" w:hAnsiTheme="majorEastAsia" w:eastAsiaTheme="majorEastAsia" w:cstheme="majorEastAsia"/>
                <w:color w:val="auto"/>
                <w:sz w:val="23"/>
                <w:szCs w:val="23"/>
                <w:highlight w:val="none"/>
              </w:rPr>
              <w:t>药学监护</w:t>
            </w:r>
          </w:p>
        </w:tc>
        <w:tc>
          <w:tcPr>
            <w:tcW w:w="1745" w:type="dxa"/>
            <w:vAlign w:val="center"/>
          </w:tcPr>
          <w:p>
            <w:pPr>
              <w:spacing w:before="60" w:line="235" w:lineRule="auto"/>
              <w:ind w:left="36"/>
              <w:jc w:val="center"/>
              <w:rPr>
                <w:rFonts w:hint="eastAsia" w:asciiTheme="majorEastAsia" w:hAnsiTheme="majorEastAsia" w:eastAsiaTheme="majorEastAsia" w:cstheme="majorEastAsia"/>
                <w:color w:val="auto"/>
                <w:sz w:val="23"/>
                <w:szCs w:val="23"/>
                <w:highlight w:val="none"/>
              </w:rPr>
            </w:pPr>
            <w:r>
              <w:rPr>
                <w:rFonts w:hint="eastAsia" w:asciiTheme="majorEastAsia" w:hAnsiTheme="majorEastAsia" w:eastAsiaTheme="majorEastAsia" w:cstheme="majorEastAsia"/>
                <w:color w:val="auto"/>
                <w:sz w:val="23"/>
                <w:szCs w:val="23"/>
                <w:highlight w:val="none"/>
              </w:rPr>
              <w:t>药学监护率</w:t>
            </w:r>
          </w:p>
        </w:tc>
        <w:tc>
          <w:tcPr>
            <w:tcW w:w="3800" w:type="dxa"/>
            <w:vAlign w:val="center"/>
          </w:tcPr>
          <w:p>
            <w:pPr>
              <w:spacing w:before="60" w:line="235" w:lineRule="auto"/>
              <w:ind w:left="36"/>
              <w:jc w:val="center"/>
              <w:rPr>
                <w:rFonts w:hint="eastAsia" w:asciiTheme="majorEastAsia" w:hAnsiTheme="majorEastAsia" w:eastAsiaTheme="majorEastAsia" w:cstheme="majorEastAsia"/>
                <w:color w:val="auto"/>
                <w:sz w:val="23"/>
                <w:szCs w:val="23"/>
                <w:highlight w:val="none"/>
              </w:rPr>
            </w:pPr>
            <w:r>
              <w:rPr>
                <w:rFonts w:hint="eastAsia" w:asciiTheme="majorEastAsia" w:hAnsiTheme="majorEastAsia" w:eastAsiaTheme="majorEastAsia" w:cstheme="majorEastAsia"/>
                <w:color w:val="auto"/>
                <w:sz w:val="23"/>
                <w:szCs w:val="23"/>
                <w:highlight w:val="none"/>
              </w:rPr>
              <w:t>实施药学监护的住院患者数占同期申报人所在临床科室住院患者总数的比例</w:t>
            </w:r>
          </w:p>
        </w:tc>
        <w:tc>
          <w:tcPr>
            <w:tcW w:w="4537" w:type="dxa"/>
            <w:vAlign w:val="center"/>
          </w:tcPr>
          <w:p>
            <w:pPr>
              <w:spacing w:before="60" w:line="235" w:lineRule="auto"/>
              <w:ind w:left="36"/>
              <w:jc w:val="center"/>
              <w:rPr>
                <w:rFonts w:hint="eastAsia" w:asciiTheme="majorEastAsia" w:hAnsiTheme="majorEastAsia" w:eastAsiaTheme="majorEastAsia" w:cstheme="majorEastAsia"/>
                <w:color w:val="auto"/>
                <w:sz w:val="23"/>
                <w:szCs w:val="23"/>
                <w:highlight w:val="none"/>
              </w:rPr>
            </w:pPr>
            <w:r>
              <w:rPr>
                <w:rFonts w:hint="eastAsia" w:asciiTheme="majorEastAsia" w:hAnsiTheme="majorEastAsia" w:eastAsiaTheme="majorEastAsia" w:cstheme="majorEastAsia"/>
                <w:color w:val="auto"/>
                <w:sz w:val="23"/>
                <w:szCs w:val="23"/>
                <w:highlight w:val="none"/>
              </w:rPr>
              <w:t>实施药学监护的住院患者数/所在临床科室住院患者总数×100%</w:t>
            </w:r>
          </w:p>
        </w:tc>
        <w:tc>
          <w:tcPr>
            <w:tcW w:w="1044" w:type="dxa"/>
            <w:vAlign w:val="center"/>
          </w:tcPr>
          <w:p>
            <w:pPr>
              <w:spacing w:before="60" w:line="235" w:lineRule="auto"/>
              <w:ind w:left="36"/>
              <w:jc w:val="center"/>
              <w:rPr>
                <w:rFonts w:hint="eastAsia" w:asciiTheme="majorEastAsia" w:hAnsiTheme="majorEastAsia" w:eastAsiaTheme="majorEastAsia" w:cstheme="majorEastAsia"/>
                <w:color w:val="auto"/>
                <w:sz w:val="23"/>
                <w:szCs w:val="23"/>
                <w:highlight w:val="none"/>
              </w:rPr>
            </w:pPr>
          </w:p>
        </w:tc>
        <w:tc>
          <w:tcPr>
            <w:tcW w:w="1125" w:type="dxa"/>
            <w:vAlign w:val="center"/>
          </w:tcPr>
          <w:p>
            <w:pPr>
              <w:spacing w:before="60" w:line="235" w:lineRule="auto"/>
              <w:ind w:left="36"/>
              <w:jc w:val="center"/>
              <w:rPr>
                <w:rFonts w:hint="eastAsia" w:asciiTheme="majorEastAsia" w:hAnsiTheme="majorEastAsia" w:eastAsiaTheme="majorEastAsia" w:cstheme="majorEastAsia"/>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23" w:hRule="atLeast"/>
          <w:jc w:val="center"/>
        </w:trPr>
        <w:tc>
          <w:tcPr>
            <w:tcW w:w="1626" w:type="dxa"/>
            <w:vMerge w:val="continue"/>
            <w:tcBorders>
              <w:top w:val="nil"/>
              <w:bottom w:val="nil"/>
            </w:tcBorders>
            <w:vAlign w:val="center"/>
          </w:tcPr>
          <w:p>
            <w:pPr>
              <w:spacing w:before="60" w:line="235" w:lineRule="auto"/>
              <w:ind w:left="36"/>
              <w:jc w:val="center"/>
              <w:rPr>
                <w:rFonts w:hint="eastAsia" w:asciiTheme="majorEastAsia" w:hAnsiTheme="majorEastAsia" w:eastAsiaTheme="majorEastAsia" w:cstheme="majorEastAsia"/>
                <w:color w:val="auto"/>
                <w:sz w:val="23"/>
                <w:szCs w:val="23"/>
                <w:highlight w:val="none"/>
              </w:rPr>
            </w:pPr>
          </w:p>
        </w:tc>
        <w:tc>
          <w:tcPr>
            <w:tcW w:w="1176" w:type="dxa"/>
            <w:vAlign w:val="center"/>
          </w:tcPr>
          <w:p>
            <w:pPr>
              <w:spacing w:before="60" w:line="235" w:lineRule="auto"/>
              <w:ind w:left="36"/>
              <w:jc w:val="center"/>
              <w:rPr>
                <w:rFonts w:hint="eastAsia" w:asciiTheme="majorEastAsia" w:hAnsiTheme="majorEastAsia" w:eastAsiaTheme="majorEastAsia" w:cstheme="majorEastAsia"/>
                <w:color w:val="auto"/>
                <w:sz w:val="23"/>
                <w:szCs w:val="23"/>
                <w:highlight w:val="none"/>
              </w:rPr>
            </w:pPr>
            <w:r>
              <w:rPr>
                <w:rFonts w:hint="eastAsia" w:asciiTheme="majorEastAsia" w:hAnsiTheme="majorEastAsia" w:eastAsiaTheme="majorEastAsia" w:cstheme="majorEastAsia"/>
                <w:color w:val="auto"/>
                <w:sz w:val="23"/>
                <w:szCs w:val="23"/>
                <w:highlight w:val="none"/>
              </w:rPr>
              <w:t>药物治疗</w:t>
            </w:r>
          </w:p>
        </w:tc>
        <w:tc>
          <w:tcPr>
            <w:tcW w:w="1745" w:type="dxa"/>
            <w:vAlign w:val="center"/>
          </w:tcPr>
          <w:p>
            <w:pPr>
              <w:spacing w:before="60" w:line="235" w:lineRule="auto"/>
              <w:ind w:left="36"/>
              <w:jc w:val="center"/>
              <w:rPr>
                <w:rFonts w:hint="eastAsia" w:asciiTheme="majorEastAsia" w:hAnsiTheme="majorEastAsia" w:eastAsiaTheme="majorEastAsia" w:cstheme="majorEastAsia"/>
                <w:color w:val="auto"/>
                <w:sz w:val="23"/>
                <w:szCs w:val="23"/>
                <w:highlight w:val="none"/>
              </w:rPr>
            </w:pPr>
            <w:r>
              <w:rPr>
                <w:rFonts w:hint="eastAsia" w:asciiTheme="majorEastAsia" w:hAnsiTheme="majorEastAsia" w:eastAsiaTheme="majorEastAsia" w:cstheme="majorEastAsia"/>
                <w:color w:val="auto"/>
                <w:sz w:val="23"/>
                <w:szCs w:val="23"/>
                <w:highlight w:val="none"/>
              </w:rPr>
              <w:t>制定药物治疗方案能力</w:t>
            </w:r>
          </w:p>
        </w:tc>
        <w:tc>
          <w:tcPr>
            <w:tcW w:w="3800" w:type="dxa"/>
            <w:vAlign w:val="center"/>
          </w:tcPr>
          <w:p>
            <w:pPr>
              <w:spacing w:before="60" w:line="235" w:lineRule="auto"/>
              <w:ind w:left="36"/>
              <w:jc w:val="center"/>
              <w:rPr>
                <w:rFonts w:hint="eastAsia" w:asciiTheme="majorEastAsia" w:hAnsiTheme="majorEastAsia" w:eastAsiaTheme="majorEastAsia" w:cstheme="majorEastAsia"/>
                <w:color w:val="auto"/>
                <w:sz w:val="23"/>
                <w:szCs w:val="23"/>
                <w:highlight w:val="none"/>
              </w:rPr>
            </w:pPr>
            <w:r>
              <w:rPr>
                <w:rFonts w:hint="eastAsia" w:asciiTheme="majorEastAsia" w:hAnsiTheme="majorEastAsia" w:eastAsiaTheme="majorEastAsia" w:cstheme="majorEastAsia"/>
                <w:color w:val="auto"/>
                <w:sz w:val="23"/>
                <w:szCs w:val="23"/>
                <w:highlight w:val="none"/>
              </w:rPr>
              <w:t>制定合理用药方案，使患者获得适度、有效、安全、经济和规范的药物治疗</w:t>
            </w:r>
          </w:p>
        </w:tc>
        <w:tc>
          <w:tcPr>
            <w:tcW w:w="4537" w:type="dxa"/>
            <w:vAlign w:val="center"/>
          </w:tcPr>
          <w:p>
            <w:pPr>
              <w:spacing w:before="60" w:line="235" w:lineRule="auto"/>
              <w:ind w:left="36"/>
              <w:jc w:val="center"/>
              <w:rPr>
                <w:rFonts w:hint="eastAsia" w:asciiTheme="majorEastAsia" w:hAnsiTheme="majorEastAsia" w:eastAsiaTheme="majorEastAsia" w:cstheme="majorEastAsia"/>
                <w:color w:val="auto"/>
                <w:sz w:val="23"/>
                <w:szCs w:val="23"/>
                <w:highlight w:val="none"/>
              </w:rPr>
            </w:pPr>
            <w:r>
              <w:rPr>
                <w:rFonts w:hint="eastAsia" w:asciiTheme="majorEastAsia" w:hAnsiTheme="majorEastAsia" w:eastAsiaTheme="majorEastAsia" w:cstheme="majorEastAsia"/>
                <w:color w:val="auto"/>
                <w:sz w:val="23"/>
                <w:szCs w:val="23"/>
                <w:highlight w:val="none"/>
              </w:rPr>
              <w:t>含病史分析、药物治疗问题、药物治疗方案选择、药学监护、患者转归等要素为一个完整案例</w:t>
            </w:r>
          </w:p>
        </w:tc>
        <w:tc>
          <w:tcPr>
            <w:tcW w:w="1044" w:type="dxa"/>
            <w:vAlign w:val="center"/>
          </w:tcPr>
          <w:p>
            <w:pPr>
              <w:spacing w:before="60" w:line="235" w:lineRule="auto"/>
              <w:ind w:left="36"/>
              <w:jc w:val="center"/>
              <w:rPr>
                <w:rFonts w:hint="eastAsia" w:asciiTheme="majorEastAsia" w:hAnsiTheme="majorEastAsia" w:eastAsiaTheme="majorEastAsia" w:cstheme="majorEastAsia"/>
                <w:color w:val="auto"/>
                <w:sz w:val="23"/>
                <w:szCs w:val="23"/>
                <w:highlight w:val="none"/>
              </w:rPr>
            </w:pPr>
          </w:p>
        </w:tc>
        <w:tc>
          <w:tcPr>
            <w:tcW w:w="1125" w:type="dxa"/>
            <w:vAlign w:val="center"/>
          </w:tcPr>
          <w:p>
            <w:pPr>
              <w:spacing w:before="60" w:line="235" w:lineRule="auto"/>
              <w:ind w:left="36"/>
              <w:jc w:val="center"/>
              <w:rPr>
                <w:rFonts w:hint="eastAsia" w:asciiTheme="majorEastAsia" w:hAnsiTheme="majorEastAsia" w:eastAsiaTheme="majorEastAsia" w:cstheme="majorEastAsia"/>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9" w:hRule="atLeast"/>
          <w:jc w:val="center"/>
        </w:trPr>
        <w:tc>
          <w:tcPr>
            <w:tcW w:w="1626" w:type="dxa"/>
            <w:vMerge w:val="continue"/>
            <w:tcBorders>
              <w:top w:val="nil"/>
              <w:bottom w:val="nil"/>
            </w:tcBorders>
            <w:vAlign w:val="center"/>
          </w:tcPr>
          <w:p>
            <w:pPr>
              <w:spacing w:before="60" w:line="235" w:lineRule="auto"/>
              <w:ind w:left="36"/>
              <w:jc w:val="center"/>
              <w:rPr>
                <w:rFonts w:hint="eastAsia" w:asciiTheme="majorEastAsia" w:hAnsiTheme="majorEastAsia" w:eastAsiaTheme="majorEastAsia" w:cstheme="majorEastAsia"/>
                <w:color w:val="auto"/>
                <w:sz w:val="23"/>
                <w:szCs w:val="23"/>
                <w:highlight w:val="none"/>
              </w:rPr>
            </w:pPr>
          </w:p>
        </w:tc>
        <w:tc>
          <w:tcPr>
            <w:tcW w:w="1176" w:type="dxa"/>
            <w:vAlign w:val="center"/>
          </w:tcPr>
          <w:p>
            <w:pPr>
              <w:spacing w:before="60" w:line="235" w:lineRule="auto"/>
              <w:ind w:left="36"/>
              <w:jc w:val="center"/>
              <w:rPr>
                <w:rFonts w:hint="eastAsia" w:asciiTheme="majorEastAsia" w:hAnsiTheme="majorEastAsia" w:eastAsiaTheme="majorEastAsia" w:cstheme="majorEastAsia"/>
                <w:color w:val="auto"/>
                <w:sz w:val="23"/>
                <w:szCs w:val="23"/>
                <w:highlight w:val="none"/>
              </w:rPr>
            </w:pPr>
            <w:r>
              <w:rPr>
                <w:rFonts w:hint="eastAsia" w:asciiTheme="majorEastAsia" w:hAnsiTheme="majorEastAsia" w:eastAsiaTheme="majorEastAsia" w:cstheme="majorEastAsia"/>
                <w:color w:val="auto"/>
                <w:sz w:val="23"/>
                <w:szCs w:val="23"/>
                <w:highlight w:val="none"/>
              </w:rPr>
              <w:t>药学会诊</w:t>
            </w:r>
          </w:p>
        </w:tc>
        <w:tc>
          <w:tcPr>
            <w:tcW w:w="1745" w:type="dxa"/>
            <w:vAlign w:val="center"/>
          </w:tcPr>
          <w:p>
            <w:pPr>
              <w:spacing w:before="60" w:line="235" w:lineRule="auto"/>
              <w:ind w:left="36"/>
              <w:jc w:val="center"/>
              <w:rPr>
                <w:rFonts w:hint="eastAsia" w:asciiTheme="majorEastAsia" w:hAnsiTheme="majorEastAsia" w:eastAsiaTheme="majorEastAsia" w:cstheme="majorEastAsia"/>
                <w:color w:val="auto"/>
                <w:sz w:val="23"/>
                <w:szCs w:val="23"/>
                <w:highlight w:val="none"/>
              </w:rPr>
            </w:pPr>
            <w:r>
              <w:rPr>
                <w:rFonts w:hint="eastAsia" w:asciiTheme="majorEastAsia" w:hAnsiTheme="majorEastAsia" w:eastAsiaTheme="majorEastAsia" w:cstheme="majorEastAsia"/>
                <w:color w:val="auto"/>
                <w:sz w:val="23"/>
                <w:szCs w:val="23"/>
                <w:highlight w:val="none"/>
              </w:rPr>
              <w:t>参与临床会诊能力</w:t>
            </w:r>
          </w:p>
        </w:tc>
        <w:tc>
          <w:tcPr>
            <w:tcW w:w="3800" w:type="dxa"/>
            <w:vAlign w:val="center"/>
          </w:tcPr>
          <w:p>
            <w:pPr>
              <w:spacing w:before="60" w:line="235" w:lineRule="auto"/>
              <w:ind w:left="36"/>
              <w:jc w:val="center"/>
              <w:rPr>
                <w:rFonts w:hint="eastAsia" w:asciiTheme="majorEastAsia" w:hAnsiTheme="majorEastAsia" w:eastAsiaTheme="majorEastAsia" w:cstheme="majorEastAsia"/>
                <w:color w:val="auto"/>
                <w:sz w:val="23"/>
                <w:szCs w:val="23"/>
                <w:highlight w:val="none"/>
              </w:rPr>
            </w:pPr>
            <w:r>
              <w:rPr>
                <w:rFonts w:hint="eastAsia" w:asciiTheme="majorEastAsia" w:hAnsiTheme="majorEastAsia" w:eastAsiaTheme="majorEastAsia" w:cstheme="majorEastAsia"/>
                <w:color w:val="auto"/>
                <w:sz w:val="23"/>
                <w:szCs w:val="23"/>
                <w:highlight w:val="none"/>
              </w:rPr>
              <w:t>参与临床会诊的次数与综合能力</w:t>
            </w:r>
          </w:p>
        </w:tc>
        <w:tc>
          <w:tcPr>
            <w:tcW w:w="4537" w:type="dxa"/>
            <w:vAlign w:val="center"/>
          </w:tcPr>
          <w:p>
            <w:pPr>
              <w:spacing w:before="60" w:line="235" w:lineRule="auto"/>
              <w:ind w:left="36"/>
              <w:jc w:val="center"/>
              <w:rPr>
                <w:rFonts w:hint="eastAsia" w:asciiTheme="majorEastAsia" w:hAnsiTheme="majorEastAsia" w:eastAsiaTheme="majorEastAsia" w:cstheme="majorEastAsia"/>
                <w:color w:val="auto"/>
                <w:sz w:val="23"/>
                <w:szCs w:val="23"/>
                <w:highlight w:val="none"/>
              </w:rPr>
            </w:pPr>
            <w:r>
              <w:rPr>
                <w:rFonts w:hint="eastAsia" w:asciiTheme="majorEastAsia" w:hAnsiTheme="majorEastAsia" w:eastAsiaTheme="majorEastAsia" w:cstheme="majorEastAsia"/>
                <w:color w:val="auto"/>
                <w:sz w:val="23"/>
                <w:szCs w:val="23"/>
                <w:highlight w:val="none"/>
              </w:rPr>
              <w:t>参与会诊次数+同行评价(提供参与会诊病案或会诊记录)</w:t>
            </w:r>
          </w:p>
        </w:tc>
        <w:tc>
          <w:tcPr>
            <w:tcW w:w="1044" w:type="dxa"/>
            <w:vAlign w:val="center"/>
          </w:tcPr>
          <w:p>
            <w:pPr>
              <w:spacing w:before="60" w:line="235" w:lineRule="auto"/>
              <w:ind w:left="36"/>
              <w:jc w:val="center"/>
              <w:rPr>
                <w:rFonts w:hint="eastAsia" w:asciiTheme="majorEastAsia" w:hAnsiTheme="majorEastAsia" w:eastAsiaTheme="majorEastAsia" w:cstheme="majorEastAsia"/>
                <w:color w:val="auto"/>
                <w:sz w:val="23"/>
                <w:szCs w:val="23"/>
                <w:highlight w:val="none"/>
              </w:rPr>
            </w:pPr>
          </w:p>
        </w:tc>
        <w:tc>
          <w:tcPr>
            <w:tcW w:w="1125" w:type="dxa"/>
            <w:vAlign w:val="center"/>
          </w:tcPr>
          <w:p>
            <w:pPr>
              <w:spacing w:before="60" w:line="235" w:lineRule="auto"/>
              <w:ind w:left="36"/>
              <w:jc w:val="center"/>
              <w:rPr>
                <w:rFonts w:hint="eastAsia" w:asciiTheme="majorEastAsia" w:hAnsiTheme="majorEastAsia" w:eastAsiaTheme="majorEastAsia" w:cstheme="majorEastAsia"/>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48" w:hRule="atLeast"/>
          <w:jc w:val="center"/>
        </w:trPr>
        <w:tc>
          <w:tcPr>
            <w:tcW w:w="1626" w:type="dxa"/>
            <w:vMerge w:val="continue"/>
            <w:tcBorders>
              <w:top w:val="nil"/>
              <w:bottom w:val="nil"/>
            </w:tcBorders>
            <w:vAlign w:val="center"/>
          </w:tcPr>
          <w:p>
            <w:pPr>
              <w:spacing w:before="60" w:line="235" w:lineRule="auto"/>
              <w:ind w:left="36"/>
              <w:jc w:val="center"/>
              <w:rPr>
                <w:rFonts w:hint="eastAsia" w:asciiTheme="majorEastAsia" w:hAnsiTheme="majorEastAsia" w:eastAsiaTheme="majorEastAsia" w:cstheme="majorEastAsia"/>
                <w:color w:val="auto"/>
                <w:sz w:val="23"/>
                <w:szCs w:val="23"/>
                <w:highlight w:val="none"/>
              </w:rPr>
            </w:pPr>
          </w:p>
        </w:tc>
        <w:tc>
          <w:tcPr>
            <w:tcW w:w="1176" w:type="dxa"/>
            <w:vAlign w:val="center"/>
          </w:tcPr>
          <w:p>
            <w:pPr>
              <w:spacing w:before="60" w:line="235" w:lineRule="auto"/>
              <w:ind w:left="36"/>
              <w:jc w:val="center"/>
              <w:rPr>
                <w:rFonts w:hint="eastAsia" w:asciiTheme="majorEastAsia" w:hAnsiTheme="majorEastAsia" w:eastAsiaTheme="majorEastAsia" w:cstheme="majorEastAsia"/>
                <w:color w:val="auto"/>
                <w:sz w:val="23"/>
                <w:szCs w:val="23"/>
                <w:highlight w:val="none"/>
              </w:rPr>
            </w:pPr>
            <w:r>
              <w:rPr>
                <w:rFonts w:hint="eastAsia" w:asciiTheme="majorEastAsia" w:hAnsiTheme="majorEastAsia" w:eastAsiaTheme="majorEastAsia" w:cstheme="majorEastAsia"/>
                <w:color w:val="auto"/>
                <w:sz w:val="23"/>
                <w:szCs w:val="23"/>
                <w:highlight w:val="none"/>
              </w:rPr>
              <w:t>个体化</w:t>
            </w:r>
          </w:p>
          <w:p>
            <w:pPr>
              <w:spacing w:before="60" w:line="235" w:lineRule="auto"/>
              <w:ind w:left="36"/>
              <w:jc w:val="center"/>
              <w:rPr>
                <w:rFonts w:hint="eastAsia" w:asciiTheme="majorEastAsia" w:hAnsiTheme="majorEastAsia" w:eastAsiaTheme="majorEastAsia" w:cstheme="majorEastAsia"/>
                <w:color w:val="auto"/>
                <w:sz w:val="23"/>
                <w:szCs w:val="23"/>
                <w:highlight w:val="none"/>
              </w:rPr>
            </w:pPr>
            <w:r>
              <w:rPr>
                <w:rFonts w:hint="eastAsia" w:asciiTheme="majorEastAsia" w:hAnsiTheme="majorEastAsia" w:eastAsiaTheme="majorEastAsia" w:cstheme="majorEastAsia"/>
                <w:color w:val="auto"/>
                <w:sz w:val="23"/>
                <w:szCs w:val="23"/>
                <w:highlight w:val="none"/>
              </w:rPr>
              <w:t>给药</w:t>
            </w:r>
          </w:p>
        </w:tc>
        <w:tc>
          <w:tcPr>
            <w:tcW w:w="1745" w:type="dxa"/>
            <w:vAlign w:val="center"/>
          </w:tcPr>
          <w:p>
            <w:pPr>
              <w:spacing w:before="60" w:line="235" w:lineRule="auto"/>
              <w:ind w:left="36"/>
              <w:jc w:val="center"/>
              <w:rPr>
                <w:rFonts w:hint="eastAsia" w:asciiTheme="majorEastAsia" w:hAnsiTheme="majorEastAsia" w:eastAsiaTheme="majorEastAsia" w:cstheme="majorEastAsia"/>
                <w:color w:val="auto"/>
                <w:sz w:val="23"/>
                <w:szCs w:val="23"/>
                <w:highlight w:val="none"/>
              </w:rPr>
            </w:pPr>
            <w:r>
              <w:rPr>
                <w:rFonts w:hint="eastAsia" w:asciiTheme="majorEastAsia" w:hAnsiTheme="majorEastAsia" w:eastAsiaTheme="majorEastAsia" w:cstheme="majorEastAsia"/>
                <w:color w:val="auto"/>
                <w:sz w:val="23"/>
                <w:szCs w:val="23"/>
                <w:highlight w:val="none"/>
              </w:rPr>
              <w:t>个体化给药监测与分析能力</w:t>
            </w:r>
          </w:p>
        </w:tc>
        <w:tc>
          <w:tcPr>
            <w:tcW w:w="3800" w:type="dxa"/>
            <w:vAlign w:val="center"/>
          </w:tcPr>
          <w:p>
            <w:pPr>
              <w:spacing w:before="60" w:line="235" w:lineRule="auto"/>
              <w:ind w:left="36"/>
              <w:jc w:val="center"/>
              <w:rPr>
                <w:rFonts w:hint="eastAsia" w:asciiTheme="majorEastAsia" w:hAnsiTheme="majorEastAsia" w:eastAsiaTheme="majorEastAsia" w:cstheme="majorEastAsia"/>
                <w:color w:val="auto"/>
                <w:sz w:val="23"/>
                <w:szCs w:val="23"/>
                <w:highlight w:val="none"/>
              </w:rPr>
            </w:pPr>
            <w:r>
              <w:rPr>
                <w:rFonts w:hint="eastAsia" w:asciiTheme="majorEastAsia" w:hAnsiTheme="majorEastAsia" w:eastAsiaTheme="majorEastAsia" w:cstheme="majorEastAsia"/>
                <w:color w:val="auto"/>
                <w:sz w:val="23"/>
                <w:szCs w:val="23"/>
                <w:highlight w:val="none"/>
              </w:rPr>
              <w:t>通过药物基因组学、血药浓度监测等手段为患者提供个体化用药建议</w:t>
            </w:r>
          </w:p>
        </w:tc>
        <w:tc>
          <w:tcPr>
            <w:tcW w:w="4537" w:type="dxa"/>
            <w:vAlign w:val="center"/>
          </w:tcPr>
          <w:p>
            <w:pPr>
              <w:spacing w:before="60" w:line="235" w:lineRule="auto"/>
              <w:ind w:left="36"/>
              <w:jc w:val="center"/>
              <w:rPr>
                <w:rFonts w:hint="eastAsia" w:asciiTheme="majorEastAsia" w:hAnsiTheme="majorEastAsia" w:eastAsiaTheme="majorEastAsia" w:cstheme="majorEastAsia"/>
                <w:color w:val="auto"/>
                <w:sz w:val="23"/>
                <w:szCs w:val="23"/>
                <w:highlight w:val="none"/>
              </w:rPr>
            </w:pPr>
            <w:r>
              <w:rPr>
                <w:rFonts w:hint="eastAsia" w:asciiTheme="majorEastAsia" w:hAnsiTheme="majorEastAsia" w:eastAsiaTheme="majorEastAsia" w:cstheme="majorEastAsia"/>
                <w:color w:val="auto"/>
                <w:sz w:val="23"/>
                <w:szCs w:val="23"/>
                <w:highlight w:val="none"/>
              </w:rPr>
              <w:t>通过药物基因组学、血药浓度监测等手段实施个体化给药的患者人数(提供患者相应检查结果、结果分析及后期处置记录)</w:t>
            </w:r>
          </w:p>
        </w:tc>
        <w:tc>
          <w:tcPr>
            <w:tcW w:w="1044" w:type="dxa"/>
            <w:vAlign w:val="center"/>
          </w:tcPr>
          <w:p>
            <w:pPr>
              <w:spacing w:before="60" w:line="235" w:lineRule="auto"/>
              <w:ind w:left="36"/>
              <w:jc w:val="center"/>
              <w:rPr>
                <w:rFonts w:hint="eastAsia" w:asciiTheme="majorEastAsia" w:hAnsiTheme="majorEastAsia" w:eastAsiaTheme="majorEastAsia" w:cstheme="majorEastAsia"/>
                <w:color w:val="auto"/>
                <w:sz w:val="23"/>
                <w:szCs w:val="23"/>
                <w:highlight w:val="none"/>
              </w:rPr>
            </w:pPr>
          </w:p>
        </w:tc>
        <w:tc>
          <w:tcPr>
            <w:tcW w:w="1125" w:type="dxa"/>
            <w:vAlign w:val="center"/>
          </w:tcPr>
          <w:p>
            <w:pPr>
              <w:spacing w:before="60" w:line="235" w:lineRule="auto"/>
              <w:ind w:left="36"/>
              <w:jc w:val="center"/>
              <w:rPr>
                <w:rFonts w:hint="eastAsia" w:asciiTheme="majorEastAsia" w:hAnsiTheme="majorEastAsia" w:eastAsiaTheme="majorEastAsia" w:cstheme="majorEastAsia"/>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42" w:hRule="atLeast"/>
          <w:jc w:val="center"/>
        </w:trPr>
        <w:tc>
          <w:tcPr>
            <w:tcW w:w="1626" w:type="dxa"/>
            <w:vMerge w:val="continue"/>
            <w:tcBorders>
              <w:top w:val="nil"/>
            </w:tcBorders>
            <w:vAlign w:val="center"/>
          </w:tcPr>
          <w:p>
            <w:pPr>
              <w:spacing w:before="60" w:line="235" w:lineRule="auto"/>
              <w:ind w:left="36"/>
              <w:jc w:val="center"/>
              <w:rPr>
                <w:rFonts w:hint="eastAsia" w:asciiTheme="majorEastAsia" w:hAnsiTheme="majorEastAsia" w:eastAsiaTheme="majorEastAsia" w:cstheme="majorEastAsia"/>
                <w:color w:val="auto"/>
                <w:sz w:val="23"/>
                <w:szCs w:val="23"/>
                <w:highlight w:val="none"/>
              </w:rPr>
            </w:pPr>
          </w:p>
        </w:tc>
        <w:tc>
          <w:tcPr>
            <w:tcW w:w="1176" w:type="dxa"/>
            <w:vAlign w:val="center"/>
          </w:tcPr>
          <w:p>
            <w:pPr>
              <w:spacing w:before="60" w:line="235" w:lineRule="auto"/>
              <w:ind w:left="36"/>
              <w:jc w:val="center"/>
              <w:rPr>
                <w:rFonts w:hint="eastAsia" w:asciiTheme="majorEastAsia" w:hAnsiTheme="majorEastAsia" w:eastAsiaTheme="majorEastAsia" w:cstheme="majorEastAsia"/>
                <w:color w:val="auto"/>
                <w:sz w:val="23"/>
                <w:szCs w:val="23"/>
                <w:highlight w:val="none"/>
              </w:rPr>
            </w:pPr>
            <w:r>
              <w:rPr>
                <w:rFonts w:hint="eastAsia" w:asciiTheme="majorEastAsia" w:hAnsiTheme="majorEastAsia" w:eastAsiaTheme="majorEastAsia" w:cstheme="majorEastAsia"/>
                <w:color w:val="auto"/>
                <w:sz w:val="23"/>
                <w:szCs w:val="23"/>
                <w:highlight w:val="none"/>
              </w:rPr>
              <w:t>处方审核</w:t>
            </w:r>
          </w:p>
        </w:tc>
        <w:tc>
          <w:tcPr>
            <w:tcW w:w="1745" w:type="dxa"/>
            <w:vAlign w:val="center"/>
          </w:tcPr>
          <w:p>
            <w:pPr>
              <w:spacing w:before="60" w:line="235" w:lineRule="auto"/>
              <w:ind w:left="36"/>
              <w:jc w:val="center"/>
              <w:rPr>
                <w:rFonts w:hint="eastAsia" w:asciiTheme="majorEastAsia" w:hAnsiTheme="majorEastAsia" w:eastAsiaTheme="majorEastAsia" w:cstheme="majorEastAsia"/>
                <w:color w:val="auto"/>
                <w:sz w:val="23"/>
                <w:szCs w:val="23"/>
                <w:highlight w:val="none"/>
              </w:rPr>
            </w:pPr>
            <w:r>
              <w:rPr>
                <w:rFonts w:hint="eastAsia" w:asciiTheme="majorEastAsia" w:hAnsiTheme="majorEastAsia" w:eastAsiaTheme="majorEastAsia" w:cstheme="majorEastAsia"/>
                <w:color w:val="auto"/>
                <w:sz w:val="23"/>
                <w:szCs w:val="23"/>
                <w:highlight w:val="none"/>
              </w:rPr>
              <w:t>处方干预率</w:t>
            </w:r>
          </w:p>
        </w:tc>
        <w:tc>
          <w:tcPr>
            <w:tcW w:w="3800" w:type="dxa"/>
            <w:vAlign w:val="center"/>
          </w:tcPr>
          <w:p>
            <w:pPr>
              <w:spacing w:before="60" w:line="235" w:lineRule="auto"/>
              <w:ind w:left="36"/>
              <w:jc w:val="center"/>
              <w:rPr>
                <w:rFonts w:hint="eastAsia" w:asciiTheme="majorEastAsia" w:hAnsiTheme="majorEastAsia" w:eastAsiaTheme="majorEastAsia" w:cstheme="majorEastAsia"/>
                <w:color w:val="auto"/>
                <w:sz w:val="23"/>
                <w:szCs w:val="23"/>
                <w:highlight w:val="none"/>
              </w:rPr>
            </w:pPr>
          </w:p>
          <w:p>
            <w:pPr>
              <w:spacing w:before="60" w:line="235" w:lineRule="auto"/>
              <w:ind w:left="36"/>
              <w:jc w:val="center"/>
              <w:rPr>
                <w:rFonts w:hint="eastAsia" w:asciiTheme="majorEastAsia" w:hAnsiTheme="majorEastAsia" w:eastAsiaTheme="majorEastAsia" w:cstheme="majorEastAsia"/>
                <w:color w:val="auto"/>
                <w:sz w:val="23"/>
                <w:szCs w:val="23"/>
                <w:highlight w:val="none"/>
              </w:rPr>
            </w:pPr>
            <w:r>
              <w:rPr>
                <w:rFonts w:hint="eastAsia" w:asciiTheme="majorEastAsia" w:hAnsiTheme="majorEastAsia" w:eastAsiaTheme="majorEastAsia" w:cstheme="majorEastAsia"/>
                <w:color w:val="auto"/>
                <w:sz w:val="23"/>
                <w:szCs w:val="23"/>
                <w:highlight w:val="none"/>
              </w:rPr>
              <w:t>实施处方干预的条目数占同期处方审核条目总数的比例(处方包括门急诊处方和住院医嘱，有效干预为医生做出相应修改，不包含医生双签)</w:t>
            </w:r>
          </w:p>
        </w:tc>
        <w:tc>
          <w:tcPr>
            <w:tcW w:w="4537" w:type="dxa"/>
            <w:vAlign w:val="center"/>
          </w:tcPr>
          <w:p>
            <w:pPr>
              <w:spacing w:before="60" w:line="235" w:lineRule="auto"/>
              <w:ind w:left="36"/>
              <w:jc w:val="center"/>
              <w:rPr>
                <w:rFonts w:hint="eastAsia" w:asciiTheme="majorEastAsia" w:hAnsiTheme="majorEastAsia" w:eastAsiaTheme="majorEastAsia" w:cstheme="majorEastAsia"/>
                <w:color w:val="auto"/>
                <w:sz w:val="23"/>
                <w:szCs w:val="23"/>
                <w:highlight w:val="none"/>
              </w:rPr>
            </w:pPr>
          </w:p>
          <w:p>
            <w:pPr>
              <w:spacing w:before="60" w:line="235" w:lineRule="auto"/>
              <w:ind w:left="36"/>
              <w:jc w:val="center"/>
              <w:rPr>
                <w:rFonts w:hint="eastAsia" w:asciiTheme="majorEastAsia" w:hAnsiTheme="majorEastAsia" w:eastAsiaTheme="majorEastAsia" w:cstheme="majorEastAsia"/>
                <w:color w:val="auto"/>
                <w:sz w:val="23"/>
                <w:szCs w:val="23"/>
                <w:highlight w:val="none"/>
              </w:rPr>
            </w:pPr>
          </w:p>
          <w:p>
            <w:pPr>
              <w:spacing w:before="60" w:line="235" w:lineRule="auto"/>
              <w:ind w:left="36"/>
              <w:jc w:val="center"/>
              <w:rPr>
                <w:rFonts w:hint="eastAsia" w:asciiTheme="majorEastAsia" w:hAnsiTheme="majorEastAsia" w:eastAsiaTheme="majorEastAsia" w:cstheme="majorEastAsia"/>
                <w:color w:val="auto"/>
                <w:sz w:val="23"/>
                <w:szCs w:val="23"/>
                <w:highlight w:val="none"/>
              </w:rPr>
            </w:pPr>
            <w:r>
              <w:rPr>
                <w:rFonts w:hint="eastAsia" w:asciiTheme="majorEastAsia" w:hAnsiTheme="majorEastAsia" w:eastAsiaTheme="majorEastAsia" w:cstheme="majorEastAsia"/>
                <w:color w:val="auto"/>
                <w:sz w:val="23"/>
                <w:szCs w:val="23"/>
                <w:highlight w:val="none"/>
              </w:rPr>
              <w:t>实施处方干预的条目数/同期处方审核条目总数×100%(门急诊处方干预按患者人次来计数，住院医嘱十预按医嘱条目数来计数)</w:t>
            </w:r>
          </w:p>
        </w:tc>
        <w:tc>
          <w:tcPr>
            <w:tcW w:w="1044" w:type="dxa"/>
            <w:vAlign w:val="center"/>
          </w:tcPr>
          <w:p>
            <w:pPr>
              <w:spacing w:before="60" w:line="235" w:lineRule="auto"/>
              <w:ind w:left="36"/>
              <w:jc w:val="center"/>
              <w:rPr>
                <w:rFonts w:hint="eastAsia" w:asciiTheme="majorEastAsia" w:hAnsiTheme="majorEastAsia" w:eastAsiaTheme="majorEastAsia" w:cstheme="majorEastAsia"/>
                <w:color w:val="auto"/>
                <w:sz w:val="23"/>
                <w:szCs w:val="23"/>
                <w:highlight w:val="none"/>
              </w:rPr>
            </w:pPr>
          </w:p>
        </w:tc>
        <w:tc>
          <w:tcPr>
            <w:tcW w:w="1125" w:type="dxa"/>
            <w:vAlign w:val="center"/>
          </w:tcPr>
          <w:p>
            <w:pPr>
              <w:spacing w:before="60" w:line="235" w:lineRule="auto"/>
              <w:ind w:left="36"/>
              <w:jc w:val="center"/>
              <w:rPr>
                <w:rFonts w:hint="eastAsia" w:asciiTheme="majorEastAsia" w:hAnsiTheme="majorEastAsia" w:eastAsiaTheme="majorEastAsia" w:cstheme="majorEastAsia"/>
                <w:color w:val="auto"/>
                <w:sz w:val="23"/>
                <w:szCs w:val="23"/>
                <w:highlight w:val="none"/>
              </w:rPr>
            </w:pPr>
          </w:p>
        </w:tc>
      </w:tr>
    </w:tbl>
    <w:p>
      <w:pPr>
        <w:jc w:val="center"/>
        <w:rPr>
          <w:color w:val="auto"/>
          <w:highlight w:val="none"/>
        </w:rPr>
      </w:pPr>
    </w:p>
    <w:tbl>
      <w:tblPr>
        <w:tblStyle w:val="5"/>
        <w:tblW w:w="15302"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64"/>
        <w:gridCol w:w="1259"/>
        <w:gridCol w:w="2016"/>
        <w:gridCol w:w="4167"/>
        <w:gridCol w:w="4040"/>
        <w:gridCol w:w="1067"/>
        <w:gridCol w:w="148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4" w:hRule="atLeast"/>
        </w:trPr>
        <w:tc>
          <w:tcPr>
            <w:tcW w:w="1264" w:type="dxa"/>
            <w:vAlign w:val="center"/>
          </w:tcPr>
          <w:p>
            <w:pPr>
              <w:spacing w:before="159" w:line="218" w:lineRule="auto"/>
              <w:jc w:val="center"/>
              <w:rPr>
                <w:rFonts w:ascii="宋体" w:hAnsi="宋体" w:eastAsia="宋体" w:cs="宋体"/>
                <w:color w:val="auto"/>
                <w:sz w:val="24"/>
                <w:szCs w:val="24"/>
                <w:highlight w:val="none"/>
              </w:rPr>
            </w:pPr>
            <w:r>
              <w:rPr>
                <w:rFonts w:ascii="宋体" w:hAnsi="宋体" w:eastAsia="宋体" w:cs="宋体"/>
                <w:b/>
                <w:bCs/>
                <w:color w:val="auto"/>
                <w:spacing w:val="-5"/>
                <w:sz w:val="24"/>
                <w:szCs w:val="24"/>
                <w:highlight w:val="none"/>
              </w:rPr>
              <w:t>评价维度</w:t>
            </w:r>
          </w:p>
        </w:tc>
        <w:tc>
          <w:tcPr>
            <w:tcW w:w="1259" w:type="dxa"/>
            <w:vAlign w:val="center"/>
          </w:tcPr>
          <w:p>
            <w:pPr>
              <w:spacing w:before="162" w:line="220" w:lineRule="auto"/>
              <w:jc w:val="center"/>
              <w:rPr>
                <w:rFonts w:ascii="宋体" w:hAnsi="宋体" w:eastAsia="宋体" w:cs="宋体"/>
                <w:color w:val="auto"/>
                <w:sz w:val="24"/>
                <w:szCs w:val="24"/>
                <w:highlight w:val="none"/>
              </w:rPr>
            </w:pPr>
            <w:r>
              <w:rPr>
                <w:rFonts w:ascii="宋体" w:hAnsi="宋体" w:eastAsia="宋体" w:cs="宋体"/>
                <w:b/>
                <w:bCs/>
                <w:color w:val="auto"/>
                <w:spacing w:val="-5"/>
                <w:sz w:val="24"/>
                <w:szCs w:val="24"/>
                <w:highlight w:val="none"/>
              </w:rPr>
              <w:t>二级指标</w:t>
            </w:r>
          </w:p>
        </w:tc>
        <w:tc>
          <w:tcPr>
            <w:tcW w:w="2016" w:type="dxa"/>
            <w:vAlign w:val="center"/>
          </w:tcPr>
          <w:p>
            <w:pPr>
              <w:spacing w:before="162" w:line="220" w:lineRule="auto"/>
              <w:jc w:val="center"/>
              <w:rPr>
                <w:rFonts w:ascii="宋体" w:hAnsi="宋体" w:eastAsia="宋体" w:cs="宋体"/>
                <w:color w:val="auto"/>
                <w:sz w:val="24"/>
                <w:szCs w:val="24"/>
                <w:highlight w:val="none"/>
              </w:rPr>
            </w:pPr>
            <w:r>
              <w:rPr>
                <w:rFonts w:ascii="宋体" w:hAnsi="宋体" w:eastAsia="宋体" w:cs="宋体"/>
                <w:b/>
                <w:bCs/>
                <w:color w:val="auto"/>
                <w:spacing w:val="-5"/>
                <w:sz w:val="24"/>
                <w:szCs w:val="24"/>
                <w:highlight w:val="none"/>
              </w:rPr>
              <w:t>三级指标</w:t>
            </w:r>
          </w:p>
        </w:tc>
        <w:tc>
          <w:tcPr>
            <w:tcW w:w="4167" w:type="dxa"/>
            <w:vAlign w:val="center"/>
          </w:tcPr>
          <w:p>
            <w:pPr>
              <w:spacing w:before="162" w:line="220" w:lineRule="auto"/>
              <w:jc w:val="center"/>
              <w:rPr>
                <w:rFonts w:ascii="宋体" w:hAnsi="宋体" w:eastAsia="宋体" w:cs="宋体"/>
                <w:color w:val="auto"/>
                <w:sz w:val="24"/>
                <w:szCs w:val="24"/>
                <w:highlight w:val="none"/>
              </w:rPr>
            </w:pPr>
            <w:r>
              <w:rPr>
                <w:rFonts w:ascii="宋体" w:hAnsi="宋体" w:eastAsia="宋体" w:cs="宋体"/>
                <w:b/>
                <w:bCs/>
                <w:color w:val="auto"/>
                <w:spacing w:val="8"/>
                <w:sz w:val="24"/>
                <w:szCs w:val="24"/>
                <w:highlight w:val="none"/>
              </w:rPr>
              <w:t>指标定义</w:t>
            </w:r>
          </w:p>
        </w:tc>
        <w:tc>
          <w:tcPr>
            <w:tcW w:w="4040" w:type="dxa"/>
            <w:vAlign w:val="center"/>
          </w:tcPr>
          <w:p>
            <w:pPr>
              <w:spacing w:before="161" w:line="219" w:lineRule="auto"/>
              <w:jc w:val="center"/>
              <w:rPr>
                <w:rFonts w:ascii="宋体" w:hAnsi="宋体" w:eastAsia="宋体" w:cs="宋体"/>
                <w:color w:val="auto"/>
                <w:sz w:val="24"/>
                <w:szCs w:val="24"/>
                <w:highlight w:val="none"/>
              </w:rPr>
            </w:pPr>
            <w:r>
              <w:rPr>
                <w:rFonts w:ascii="宋体" w:hAnsi="宋体" w:eastAsia="宋体" w:cs="宋体"/>
                <w:b/>
                <w:bCs/>
                <w:color w:val="auto"/>
                <w:spacing w:val="-5"/>
                <w:sz w:val="24"/>
                <w:szCs w:val="24"/>
                <w:highlight w:val="none"/>
              </w:rPr>
              <w:t>计算方法</w:t>
            </w:r>
          </w:p>
        </w:tc>
        <w:tc>
          <w:tcPr>
            <w:tcW w:w="1067" w:type="dxa"/>
            <w:vAlign w:val="center"/>
          </w:tcPr>
          <w:p>
            <w:pPr>
              <w:spacing w:before="101" w:line="219" w:lineRule="auto"/>
              <w:jc w:val="center"/>
              <w:rPr>
                <w:rFonts w:hint="eastAsia" w:ascii="宋体" w:hAnsi="宋体" w:eastAsia="宋体" w:cs="宋体"/>
                <w:b/>
                <w:bCs/>
                <w:snapToGrid w:val="0"/>
                <w:color w:val="auto"/>
                <w:spacing w:val="2"/>
                <w:kern w:val="0"/>
                <w:sz w:val="24"/>
                <w:szCs w:val="24"/>
                <w:highlight w:val="none"/>
                <w:lang w:eastAsia="zh-CN"/>
              </w:rPr>
            </w:pPr>
            <w:r>
              <w:rPr>
                <w:rFonts w:hint="eastAsia" w:ascii="宋体" w:hAnsi="宋体" w:eastAsia="宋体" w:cs="宋体"/>
                <w:b/>
                <w:bCs/>
                <w:color w:val="auto"/>
                <w:spacing w:val="2"/>
                <w:sz w:val="24"/>
                <w:szCs w:val="24"/>
                <w:highlight w:val="none"/>
                <w:lang w:eastAsia="zh-CN"/>
              </w:rPr>
              <w:t>指标完成情况</w:t>
            </w:r>
          </w:p>
        </w:tc>
        <w:tc>
          <w:tcPr>
            <w:tcW w:w="1489" w:type="dxa"/>
            <w:vAlign w:val="center"/>
          </w:tcPr>
          <w:p>
            <w:pPr>
              <w:spacing w:before="101" w:line="219" w:lineRule="auto"/>
              <w:jc w:val="center"/>
              <w:rPr>
                <w:rFonts w:ascii="宋体" w:hAnsi="宋体" w:eastAsia="宋体" w:cs="宋体"/>
                <w:b/>
                <w:bCs/>
                <w:snapToGrid w:val="0"/>
                <w:color w:val="auto"/>
                <w:spacing w:val="2"/>
                <w:kern w:val="0"/>
                <w:sz w:val="24"/>
                <w:szCs w:val="24"/>
                <w:highlight w:val="none"/>
              </w:rPr>
            </w:pPr>
            <w:r>
              <w:rPr>
                <w:rFonts w:hint="eastAsia" w:ascii="宋体" w:hAnsi="宋体" w:eastAsia="宋体" w:cs="宋体"/>
                <w:b/>
                <w:bCs/>
                <w:color w:val="auto"/>
                <w:spacing w:val="7"/>
                <w:sz w:val="24"/>
                <w:szCs w:val="24"/>
                <w:highlight w:val="none"/>
                <w:lang w:eastAsia="zh-CN"/>
              </w:rPr>
              <w:t>责任科室负责人签字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98" w:hRule="atLeast"/>
        </w:trPr>
        <w:tc>
          <w:tcPr>
            <w:tcW w:w="1264" w:type="dxa"/>
            <w:vMerge w:val="restart"/>
            <w:tcBorders>
              <w:bottom w:val="nil"/>
            </w:tcBorders>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技术能力(需至少满足2项二级指</w:t>
            </w:r>
          </w:p>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标)</w:t>
            </w:r>
          </w:p>
        </w:tc>
        <w:tc>
          <w:tcPr>
            <w:tcW w:w="1259"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处方审核</w:t>
            </w:r>
          </w:p>
        </w:tc>
        <w:tc>
          <w:tcPr>
            <w:tcW w:w="2016"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调剂差错率</w:t>
            </w:r>
          </w:p>
        </w:tc>
        <w:tc>
          <w:tcPr>
            <w:tcW w:w="4167"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出现调剂差错的条目数占同期处方调剂总数的比例(处方包括门急诊处方和住院医嘱调剂)</w:t>
            </w:r>
          </w:p>
        </w:tc>
        <w:tc>
          <w:tcPr>
            <w:tcW w:w="4040"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出现调剂差错的条目数/同期处方调剂总数×100%(门急诊调剂差错按患者人次来计，住院医嘱调剂差错按医嘱条目数来计)</w:t>
            </w:r>
          </w:p>
        </w:tc>
        <w:tc>
          <w:tcPr>
            <w:tcW w:w="1067" w:type="dxa"/>
            <w:vAlign w:val="center"/>
          </w:tcPr>
          <w:p>
            <w:pPr>
              <w:spacing w:before="60" w:line="235" w:lineRule="auto"/>
              <w:ind w:left="36"/>
              <w:jc w:val="center"/>
              <w:rPr>
                <w:rFonts w:ascii="宋体" w:hAnsi="宋体" w:eastAsia="宋体" w:cs="宋体"/>
                <w:color w:val="auto"/>
                <w:sz w:val="23"/>
                <w:szCs w:val="23"/>
                <w:highlight w:val="none"/>
              </w:rPr>
            </w:pPr>
          </w:p>
        </w:tc>
        <w:tc>
          <w:tcPr>
            <w:tcW w:w="1489"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99" w:hRule="atLeast"/>
        </w:trPr>
        <w:tc>
          <w:tcPr>
            <w:tcW w:w="1264" w:type="dxa"/>
            <w:vMerge w:val="continue"/>
            <w:tcBorders>
              <w:top w:val="nil"/>
              <w:bottom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259"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管理能力</w:t>
            </w:r>
          </w:p>
        </w:tc>
        <w:tc>
          <w:tcPr>
            <w:tcW w:w="2016"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制定医疗机构内部制度、标准操作规程(sop)等能力</w:t>
            </w:r>
          </w:p>
        </w:tc>
        <w:tc>
          <w:tcPr>
            <w:tcW w:w="4167"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支持制定医疗机构内部管理制度、SOP等</w:t>
            </w:r>
          </w:p>
        </w:tc>
        <w:tc>
          <w:tcPr>
            <w:tcW w:w="4040"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主持制定操作规程和规章制度数量</w:t>
            </w:r>
          </w:p>
        </w:tc>
        <w:tc>
          <w:tcPr>
            <w:tcW w:w="1067" w:type="dxa"/>
            <w:vAlign w:val="center"/>
          </w:tcPr>
          <w:p>
            <w:pPr>
              <w:spacing w:before="60" w:line="235" w:lineRule="auto"/>
              <w:ind w:left="36"/>
              <w:jc w:val="center"/>
              <w:rPr>
                <w:rFonts w:ascii="宋体" w:hAnsi="宋体" w:eastAsia="宋体" w:cs="宋体"/>
                <w:color w:val="auto"/>
                <w:sz w:val="23"/>
                <w:szCs w:val="23"/>
                <w:highlight w:val="none"/>
              </w:rPr>
            </w:pPr>
          </w:p>
        </w:tc>
        <w:tc>
          <w:tcPr>
            <w:tcW w:w="1489"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9" w:hRule="atLeast"/>
        </w:trPr>
        <w:tc>
          <w:tcPr>
            <w:tcW w:w="1264" w:type="dxa"/>
            <w:vMerge w:val="continue"/>
            <w:tcBorders>
              <w:top w:val="nil"/>
              <w:bottom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259"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合理用药</w:t>
            </w:r>
          </w:p>
        </w:tc>
        <w:tc>
          <w:tcPr>
            <w:tcW w:w="2016" w:type="dxa"/>
            <w:vAlign w:val="center"/>
          </w:tcPr>
          <w:p>
            <w:pPr>
              <w:spacing w:before="60" w:line="235" w:lineRule="auto"/>
              <w:ind w:left="36"/>
              <w:jc w:val="center"/>
              <w:rPr>
                <w:rFonts w:ascii="宋体" w:hAnsi="宋体" w:eastAsia="宋体" w:cs="宋体"/>
                <w:color w:val="auto"/>
                <w:sz w:val="23"/>
                <w:szCs w:val="23"/>
                <w:highlight w:val="none"/>
              </w:rPr>
            </w:pPr>
          </w:p>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区域处方抽查排位</w:t>
            </w:r>
          </w:p>
        </w:tc>
        <w:tc>
          <w:tcPr>
            <w:tcW w:w="4167"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药师所在医疗机构在区域处方抽查点评中的排名情况</w:t>
            </w:r>
          </w:p>
        </w:tc>
        <w:tc>
          <w:tcPr>
            <w:tcW w:w="4040"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根据区域处方抽查点评中各医疗机构的排名情况，给予医疗机构中药师相应的得分</w:t>
            </w:r>
          </w:p>
        </w:tc>
        <w:tc>
          <w:tcPr>
            <w:tcW w:w="1067" w:type="dxa"/>
            <w:vAlign w:val="center"/>
          </w:tcPr>
          <w:p>
            <w:pPr>
              <w:spacing w:before="60" w:line="235" w:lineRule="auto"/>
              <w:ind w:left="36"/>
              <w:jc w:val="center"/>
              <w:rPr>
                <w:rFonts w:ascii="宋体" w:hAnsi="宋体" w:eastAsia="宋体" w:cs="宋体"/>
                <w:color w:val="auto"/>
                <w:sz w:val="23"/>
                <w:szCs w:val="23"/>
                <w:highlight w:val="none"/>
              </w:rPr>
            </w:pPr>
          </w:p>
        </w:tc>
        <w:tc>
          <w:tcPr>
            <w:tcW w:w="1489"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9" w:hRule="atLeast"/>
        </w:trPr>
        <w:tc>
          <w:tcPr>
            <w:tcW w:w="1264" w:type="dxa"/>
            <w:vMerge w:val="continue"/>
            <w:tcBorders>
              <w:top w:val="nil"/>
              <w:bottom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259" w:type="dxa"/>
            <w:vMerge w:val="restart"/>
            <w:tcBorders>
              <w:bottom w:val="nil"/>
            </w:tcBorders>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制剂生产</w:t>
            </w:r>
          </w:p>
        </w:tc>
        <w:tc>
          <w:tcPr>
            <w:tcW w:w="2016"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申报新文号、生产批件数</w:t>
            </w:r>
          </w:p>
        </w:tc>
        <w:tc>
          <w:tcPr>
            <w:tcW w:w="4167"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参与医院制剂研发并取得生产许可的医疗机构新制剂批准文号、生产批件数</w:t>
            </w:r>
          </w:p>
        </w:tc>
        <w:tc>
          <w:tcPr>
            <w:tcW w:w="4040"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申报新文号、生产批件数量</w:t>
            </w:r>
          </w:p>
        </w:tc>
        <w:tc>
          <w:tcPr>
            <w:tcW w:w="1067" w:type="dxa"/>
            <w:vAlign w:val="center"/>
          </w:tcPr>
          <w:p>
            <w:pPr>
              <w:spacing w:before="60" w:line="235" w:lineRule="auto"/>
              <w:ind w:left="36"/>
              <w:jc w:val="center"/>
              <w:rPr>
                <w:rFonts w:ascii="宋体" w:hAnsi="宋体" w:eastAsia="宋体" w:cs="宋体"/>
                <w:color w:val="auto"/>
                <w:sz w:val="23"/>
                <w:szCs w:val="23"/>
                <w:highlight w:val="none"/>
              </w:rPr>
            </w:pPr>
          </w:p>
        </w:tc>
        <w:tc>
          <w:tcPr>
            <w:tcW w:w="1489"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9" w:hRule="atLeast"/>
        </w:trPr>
        <w:tc>
          <w:tcPr>
            <w:tcW w:w="1264" w:type="dxa"/>
            <w:vMerge w:val="continue"/>
            <w:tcBorders>
              <w:top w:val="nil"/>
              <w:bottom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259" w:type="dxa"/>
            <w:vMerge w:val="continue"/>
            <w:tcBorders>
              <w:top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2016"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生产合格率</w:t>
            </w:r>
          </w:p>
        </w:tc>
        <w:tc>
          <w:tcPr>
            <w:tcW w:w="4167"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医疗机构制剂生产合格批次占医疗机构制剂生产总批次的比例</w:t>
            </w:r>
          </w:p>
        </w:tc>
        <w:tc>
          <w:tcPr>
            <w:tcW w:w="4040"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医疗机构制剂生产合格批次/医疗机构制剂生产总批次×100%</w:t>
            </w:r>
          </w:p>
        </w:tc>
        <w:tc>
          <w:tcPr>
            <w:tcW w:w="1067" w:type="dxa"/>
            <w:vAlign w:val="center"/>
          </w:tcPr>
          <w:p>
            <w:pPr>
              <w:spacing w:before="60" w:line="235" w:lineRule="auto"/>
              <w:ind w:left="36"/>
              <w:jc w:val="center"/>
              <w:rPr>
                <w:rFonts w:ascii="宋体" w:hAnsi="宋体" w:eastAsia="宋体" w:cs="宋体"/>
                <w:color w:val="auto"/>
                <w:sz w:val="23"/>
                <w:szCs w:val="23"/>
                <w:highlight w:val="none"/>
              </w:rPr>
            </w:pPr>
          </w:p>
        </w:tc>
        <w:tc>
          <w:tcPr>
            <w:tcW w:w="1489"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9" w:hRule="atLeast"/>
        </w:trPr>
        <w:tc>
          <w:tcPr>
            <w:tcW w:w="1264" w:type="dxa"/>
            <w:vMerge w:val="continue"/>
            <w:tcBorders>
              <w:top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259"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药物试验</w:t>
            </w:r>
          </w:p>
        </w:tc>
        <w:tc>
          <w:tcPr>
            <w:tcW w:w="2016"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药物临床试验有效性</w:t>
            </w:r>
          </w:p>
        </w:tc>
        <w:tc>
          <w:tcPr>
            <w:tcW w:w="4167"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药物试验过程中出现某一医学事件或达到预定标准(病情好转或加重)的情况</w:t>
            </w:r>
          </w:p>
        </w:tc>
        <w:tc>
          <w:tcPr>
            <w:tcW w:w="4040"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以试验报告或结果为准</w:t>
            </w:r>
          </w:p>
        </w:tc>
        <w:tc>
          <w:tcPr>
            <w:tcW w:w="1067" w:type="dxa"/>
            <w:vAlign w:val="center"/>
          </w:tcPr>
          <w:p>
            <w:pPr>
              <w:spacing w:before="60" w:line="235" w:lineRule="auto"/>
              <w:ind w:left="36"/>
              <w:jc w:val="center"/>
              <w:rPr>
                <w:rFonts w:ascii="宋体" w:hAnsi="宋体" w:eastAsia="宋体" w:cs="宋体"/>
                <w:color w:val="auto"/>
                <w:sz w:val="23"/>
                <w:szCs w:val="23"/>
                <w:highlight w:val="none"/>
              </w:rPr>
            </w:pPr>
          </w:p>
        </w:tc>
        <w:tc>
          <w:tcPr>
            <w:tcW w:w="1489"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63" w:hRule="atLeast"/>
        </w:trPr>
        <w:tc>
          <w:tcPr>
            <w:tcW w:w="1264"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质量安全</w:t>
            </w:r>
          </w:p>
        </w:tc>
        <w:tc>
          <w:tcPr>
            <w:tcW w:w="1259"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药品质量</w:t>
            </w:r>
          </w:p>
        </w:tc>
        <w:tc>
          <w:tcPr>
            <w:tcW w:w="2016"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保障药品质量的能力</w:t>
            </w:r>
          </w:p>
        </w:tc>
        <w:tc>
          <w:tcPr>
            <w:tcW w:w="4167"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保障药品质量能力水平，指标涉及管辖内药品质量合格率，完善毒、麻、精神药品等特殊管理药品、高警示药品的管理规定，问题药品及时处理符合相关规定，医院制剂质量管理规范</w:t>
            </w:r>
          </w:p>
        </w:tc>
        <w:tc>
          <w:tcPr>
            <w:tcW w:w="4040"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药品质量管理持续改进案例数</w:t>
            </w:r>
          </w:p>
        </w:tc>
        <w:tc>
          <w:tcPr>
            <w:tcW w:w="1067" w:type="dxa"/>
            <w:vAlign w:val="center"/>
          </w:tcPr>
          <w:p>
            <w:pPr>
              <w:spacing w:before="60" w:line="235" w:lineRule="auto"/>
              <w:ind w:left="36"/>
              <w:jc w:val="center"/>
              <w:rPr>
                <w:rFonts w:ascii="宋体" w:hAnsi="宋体" w:eastAsia="宋体" w:cs="宋体"/>
                <w:color w:val="auto"/>
                <w:sz w:val="23"/>
                <w:szCs w:val="23"/>
                <w:highlight w:val="none"/>
              </w:rPr>
            </w:pPr>
          </w:p>
        </w:tc>
        <w:tc>
          <w:tcPr>
            <w:tcW w:w="1489" w:type="dxa"/>
            <w:vAlign w:val="center"/>
          </w:tcPr>
          <w:p>
            <w:pPr>
              <w:spacing w:before="60" w:line="235" w:lineRule="auto"/>
              <w:ind w:left="36"/>
              <w:jc w:val="center"/>
              <w:rPr>
                <w:rFonts w:ascii="宋体" w:hAnsi="宋体" w:eastAsia="宋体" w:cs="宋体"/>
                <w:color w:val="auto"/>
                <w:sz w:val="23"/>
                <w:szCs w:val="23"/>
                <w:highlight w:val="none"/>
              </w:rPr>
            </w:pPr>
          </w:p>
        </w:tc>
      </w:tr>
    </w:tbl>
    <w:p>
      <w:pPr>
        <w:jc w:val="center"/>
        <w:rPr>
          <w:color w:val="auto"/>
          <w:highlight w:val="none"/>
        </w:rPr>
      </w:pPr>
    </w:p>
    <w:p>
      <w:pPr>
        <w:jc w:val="center"/>
        <w:rPr>
          <w:color w:val="auto"/>
          <w:highlight w:val="none"/>
        </w:rPr>
      </w:pPr>
    </w:p>
    <w:tbl>
      <w:tblPr>
        <w:tblStyle w:val="5"/>
        <w:tblW w:w="1526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64"/>
        <w:gridCol w:w="1269"/>
        <w:gridCol w:w="1973"/>
        <w:gridCol w:w="4189"/>
        <w:gridCol w:w="4074"/>
        <w:gridCol w:w="1055"/>
        <w:gridCol w:w="14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4" w:hRule="atLeast"/>
        </w:trPr>
        <w:tc>
          <w:tcPr>
            <w:tcW w:w="1264" w:type="dxa"/>
            <w:vAlign w:val="center"/>
          </w:tcPr>
          <w:p>
            <w:pPr>
              <w:spacing w:before="159" w:line="218" w:lineRule="auto"/>
              <w:jc w:val="center"/>
              <w:rPr>
                <w:rFonts w:ascii="宋体" w:hAnsi="宋体" w:eastAsia="宋体" w:cs="宋体"/>
                <w:color w:val="auto"/>
                <w:sz w:val="23"/>
                <w:szCs w:val="23"/>
                <w:highlight w:val="none"/>
              </w:rPr>
            </w:pPr>
            <w:r>
              <w:rPr>
                <w:rFonts w:ascii="宋体" w:hAnsi="宋体" w:eastAsia="宋体" w:cs="宋体"/>
                <w:b/>
                <w:bCs/>
                <w:color w:val="auto"/>
                <w:spacing w:val="-4"/>
                <w:sz w:val="23"/>
                <w:szCs w:val="23"/>
                <w:highlight w:val="none"/>
              </w:rPr>
              <w:t>评价维度</w:t>
            </w:r>
          </w:p>
        </w:tc>
        <w:tc>
          <w:tcPr>
            <w:tcW w:w="1269" w:type="dxa"/>
            <w:vAlign w:val="center"/>
          </w:tcPr>
          <w:p>
            <w:pPr>
              <w:spacing w:before="161" w:line="220" w:lineRule="auto"/>
              <w:jc w:val="center"/>
              <w:rPr>
                <w:rFonts w:ascii="宋体" w:hAnsi="宋体" w:eastAsia="宋体" w:cs="宋体"/>
                <w:color w:val="auto"/>
                <w:sz w:val="23"/>
                <w:szCs w:val="23"/>
                <w:highlight w:val="none"/>
              </w:rPr>
            </w:pPr>
            <w:r>
              <w:rPr>
                <w:rFonts w:ascii="宋体" w:hAnsi="宋体" w:eastAsia="宋体" w:cs="宋体"/>
                <w:b/>
                <w:bCs/>
                <w:color w:val="auto"/>
                <w:spacing w:val="-5"/>
                <w:sz w:val="23"/>
                <w:szCs w:val="23"/>
                <w:highlight w:val="none"/>
              </w:rPr>
              <w:t>二级指标</w:t>
            </w:r>
          </w:p>
        </w:tc>
        <w:tc>
          <w:tcPr>
            <w:tcW w:w="1973" w:type="dxa"/>
            <w:vAlign w:val="center"/>
          </w:tcPr>
          <w:p>
            <w:pPr>
              <w:spacing w:before="161" w:line="220" w:lineRule="auto"/>
              <w:jc w:val="center"/>
              <w:rPr>
                <w:rFonts w:ascii="宋体" w:hAnsi="宋体" w:eastAsia="宋体" w:cs="宋体"/>
                <w:color w:val="auto"/>
                <w:sz w:val="23"/>
                <w:szCs w:val="23"/>
                <w:highlight w:val="none"/>
              </w:rPr>
            </w:pPr>
            <w:r>
              <w:rPr>
                <w:rFonts w:ascii="宋体" w:hAnsi="宋体" w:eastAsia="宋体" w:cs="宋体"/>
                <w:b/>
                <w:bCs/>
                <w:color w:val="auto"/>
                <w:spacing w:val="-5"/>
                <w:sz w:val="23"/>
                <w:szCs w:val="23"/>
                <w:highlight w:val="none"/>
              </w:rPr>
              <w:t>三级指标</w:t>
            </w:r>
          </w:p>
        </w:tc>
        <w:tc>
          <w:tcPr>
            <w:tcW w:w="4189" w:type="dxa"/>
            <w:vAlign w:val="center"/>
          </w:tcPr>
          <w:p>
            <w:pPr>
              <w:spacing w:before="161" w:line="220" w:lineRule="auto"/>
              <w:jc w:val="center"/>
              <w:rPr>
                <w:rFonts w:ascii="宋体" w:hAnsi="宋体" w:eastAsia="宋体" w:cs="宋体"/>
                <w:color w:val="auto"/>
                <w:sz w:val="23"/>
                <w:szCs w:val="23"/>
                <w:highlight w:val="none"/>
              </w:rPr>
            </w:pPr>
            <w:r>
              <w:rPr>
                <w:rFonts w:ascii="宋体" w:hAnsi="宋体" w:eastAsia="宋体" w:cs="宋体"/>
                <w:b/>
                <w:bCs/>
                <w:color w:val="auto"/>
                <w:spacing w:val="13"/>
                <w:sz w:val="23"/>
                <w:szCs w:val="23"/>
                <w:highlight w:val="none"/>
              </w:rPr>
              <w:t>指标定义</w:t>
            </w:r>
          </w:p>
        </w:tc>
        <w:tc>
          <w:tcPr>
            <w:tcW w:w="4074" w:type="dxa"/>
            <w:vAlign w:val="center"/>
          </w:tcPr>
          <w:p>
            <w:pPr>
              <w:spacing w:before="161" w:line="219" w:lineRule="auto"/>
              <w:jc w:val="center"/>
              <w:rPr>
                <w:rFonts w:ascii="宋体" w:hAnsi="宋体" w:eastAsia="宋体" w:cs="宋体"/>
                <w:color w:val="auto"/>
                <w:sz w:val="23"/>
                <w:szCs w:val="23"/>
                <w:highlight w:val="none"/>
              </w:rPr>
            </w:pPr>
            <w:r>
              <w:rPr>
                <w:rFonts w:ascii="宋体" w:hAnsi="宋体" w:eastAsia="宋体" w:cs="宋体"/>
                <w:b/>
                <w:bCs/>
                <w:color w:val="auto"/>
                <w:spacing w:val="-5"/>
                <w:sz w:val="23"/>
                <w:szCs w:val="23"/>
                <w:highlight w:val="none"/>
              </w:rPr>
              <w:t>计算方法</w:t>
            </w:r>
          </w:p>
        </w:tc>
        <w:tc>
          <w:tcPr>
            <w:tcW w:w="1055" w:type="dxa"/>
            <w:vAlign w:val="center"/>
          </w:tcPr>
          <w:p>
            <w:pPr>
              <w:spacing w:before="101" w:line="219" w:lineRule="auto"/>
              <w:jc w:val="center"/>
              <w:rPr>
                <w:rFonts w:hint="eastAsia" w:ascii="宋体" w:hAnsi="宋体" w:eastAsia="宋体" w:cs="宋体"/>
                <w:b/>
                <w:bCs/>
                <w:snapToGrid w:val="0"/>
                <w:color w:val="auto"/>
                <w:spacing w:val="2"/>
                <w:kern w:val="0"/>
                <w:sz w:val="24"/>
                <w:szCs w:val="24"/>
                <w:highlight w:val="none"/>
                <w:lang w:eastAsia="zh-CN"/>
              </w:rPr>
            </w:pPr>
            <w:r>
              <w:rPr>
                <w:rFonts w:hint="eastAsia" w:ascii="宋体" w:hAnsi="宋体" w:eastAsia="宋体" w:cs="宋体"/>
                <w:b/>
                <w:bCs/>
                <w:color w:val="auto"/>
                <w:spacing w:val="2"/>
                <w:sz w:val="24"/>
                <w:szCs w:val="24"/>
                <w:highlight w:val="none"/>
                <w:lang w:eastAsia="zh-CN"/>
              </w:rPr>
              <w:t>指标完成情况</w:t>
            </w:r>
          </w:p>
        </w:tc>
        <w:tc>
          <w:tcPr>
            <w:tcW w:w="1445" w:type="dxa"/>
            <w:vAlign w:val="center"/>
          </w:tcPr>
          <w:p>
            <w:pPr>
              <w:spacing w:before="101" w:line="219" w:lineRule="auto"/>
              <w:jc w:val="center"/>
              <w:rPr>
                <w:rFonts w:ascii="宋体" w:hAnsi="宋体" w:eastAsia="宋体" w:cs="宋体"/>
                <w:b/>
                <w:bCs/>
                <w:snapToGrid w:val="0"/>
                <w:color w:val="auto"/>
                <w:spacing w:val="2"/>
                <w:kern w:val="0"/>
                <w:sz w:val="24"/>
                <w:szCs w:val="24"/>
                <w:highlight w:val="none"/>
              </w:rPr>
            </w:pPr>
            <w:r>
              <w:rPr>
                <w:rFonts w:hint="eastAsia" w:ascii="宋体" w:hAnsi="宋体" w:eastAsia="宋体" w:cs="宋体"/>
                <w:b/>
                <w:bCs/>
                <w:color w:val="auto"/>
                <w:spacing w:val="7"/>
                <w:sz w:val="24"/>
                <w:szCs w:val="24"/>
                <w:highlight w:val="none"/>
                <w:lang w:eastAsia="zh-CN"/>
              </w:rPr>
              <w:t>责任科室负责人签字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96" w:hRule="atLeast"/>
        </w:trPr>
        <w:tc>
          <w:tcPr>
            <w:tcW w:w="1264" w:type="dxa"/>
            <w:vMerge w:val="restart"/>
            <w:tcBorders>
              <w:bottom w:val="nil"/>
            </w:tcBorders>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质量安全</w:t>
            </w:r>
          </w:p>
        </w:tc>
        <w:tc>
          <w:tcPr>
            <w:tcW w:w="1269"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患者安全</w:t>
            </w:r>
          </w:p>
        </w:tc>
        <w:tc>
          <w:tcPr>
            <w:tcW w:w="1973"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维护患者安全用药能力</w:t>
            </w:r>
          </w:p>
        </w:tc>
        <w:tc>
          <w:tcPr>
            <w:tcW w:w="4189"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维护患者用药安全情况，指标涉及药品调剂、处方审核、静脉用药调配质量、制剂生产、药品不良反应报告及处置、用药错误/药品损害事件报告及处理等符合相关规定</w:t>
            </w:r>
          </w:p>
        </w:tc>
        <w:tc>
          <w:tcPr>
            <w:tcW w:w="4074"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药物不良反应、用药错误/药品损害事件等处置案例数</w:t>
            </w:r>
          </w:p>
        </w:tc>
        <w:tc>
          <w:tcPr>
            <w:tcW w:w="1055" w:type="dxa"/>
            <w:vAlign w:val="center"/>
          </w:tcPr>
          <w:p>
            <w:pPr>
              <w:spacing w:before="60" w:line="235" w:lineRule="auto"/>
              <w:ind w:left="36"/>
              <w:jc w:val="center"/>
              <w:rPr>
                <w:rFonts w:ascii="宋体" w:hAnsi="宋体" w:eastAsia="宋体" w:cs="宋体"/>
                <w:color w:val="auto"/>
                <w:sz w:val="23"/>
                <w:szCs w:val="23"/>
                <w:highlight w:val="none"/>
              </w:rPr>
            </w:pPr>
          </w:p>
        </w:tc>
        <w:tc>
          <w:tcPr>
            <w:tcW w:w="1445"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8" w:hRule="atLeast"/>
        </w:trPr>
        <w:tc>
          <w:tcPr>
            <w:tcW w:w="1264" w:type="dxa"/>
            <w:vMerge w:val="continue"/>
            <w:tcBorders>
              <w:top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269"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患者投诉</w:t>
            </w:r>
          </w:p>
        </w:tc>
        <w:tc>
          <w:tcPr>
            <w:tcW w:w="1973"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患者投诉案例数</w:t>
            </w:r>
          </w:p>
        </w:tc>
        <w:tc>
          <w:tcPr>
            <w:tcW w:w="4189"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经医院核实，确有服务态度或服务质量存在问题的投诉案例数</w:t>
            </w:r>
          </w:p>
        </w:tc>
        <w:tc>
          <w:tcPr>
            <w:tcW w:w="4074"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患者投诉案例数</w:t>
            </w:r>
          </w:p>
        </w:tc>
        <w:tc>
          <w:tcPr>
            <w:tcW w:w="1055" w:type="dxa"/>
            <w:vAlign w:val="center"/>
          </w:tcPr>
          <w:p>
            <w:pPr>
              <w:spacing w:before="60" w:line="235" w:lineRule="auto"/>
              <w:ind w:left="36"/>
              <w:jc w:val="center"/>
              <w:rPr>
                <w:rFonts w:ascii="宋体" w:hAnsi="宋体" w:eastAsia="宋体" w:cs="宋体"/>
                <w:color w:val="auto"/>
                <w:sz w:val="23"/>
                <w:szCs w:val="23"/>
                <w:highlight w:val="none"/>
              </w:rPr>
            </w:pPr>
          </w:p>
        </w:tc>
        <w:tc>
          <w:tcPr>
            <w:tcW w:w="1445"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9" w:hRule="atLeast"/>
        </w:trPr>
        <w:tc>
          <w:tcPr>
            <w:tcW w:w="1264" w:type="dxa"/>
            <w:vMerge w:val="restart"/>
            <w:tcBorders>
              <w:bottom w:val="nil"/>
            </w:tcBorders>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教学科普</w:t>
            </w:r>
          </w:p>
        </w:tc>
        <w:tc>
          <w:tcPr>
            <w:tcW w:w="1269" w:type="dxa"/>
            <w:vMerge w:val="restart"/>
            <w:tcBorders>
              <w:bottom w:val="nil"/>
            </w:tcBorders>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教学讲座</w:t>
            </w:r>
          </w:p>
        </w:tc>
        <w:tc>
          <w:tcPr>
            <w:tcW w:w="1973"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指导、带教和授课、教学</w:t>
            </w:r>
          </w:p>
        </w:tc>
        <w:tc>
          <w:tcPr>
            <w:tcW w:w="4189"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晋升周期内指导、带教人数，专业授课、教学次数</w:t>
            </w:r>
          </w:p>
        </w:tc>
        <w:tc>
          <w:tcPr>
            <w:tcW w:w="4074"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指导和带教人次，授课教学次数</w:t>
            </w:r>
          </w:p>
        </w:tc>
        <w:tc>
          <w:tcPr>
            <w:tcW w:w="1055" w:type="dxa"/>
            <w:vAlign w:val="center"/>
          </w:tcPr>
          <w:p>
            <w:pPr>
              <w:spacing w:before="60" w:line="235" w:lineRule="auto"/>
              <w:ind w:left="36"/>
              <w:jc w:val="center"/>
              <w:rPr>
                <w:rFonts w:ascii="宋体" w:hAnsi="宋体" w:eastAsia="宋体" w:cs="宋体"/>
                <w:color w:val="auto"/>
                <w:sz w:val="23"/>
                <w:szCs w:val="23"/>
                <w:highlight w:val="none"/>
              </w:rPr>
            </w:pPr>
          </w:p>
        </w:tc>
        <w:tc>
          <w:tcPr>
            <w:tcW w:w="1445"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1264" w:type="dxa"/>
            <w:vMerge w:val="continue"/>
            <w:tcBorders>
              <w:top w:val="nil"/>
              <w:bottom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269" w:type="dxa"/>
            <w:vMerge w:val="continue"/>
            <w:tcBorders>
              <w:top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973"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专题讲座或科普</w:t>
            </w:r>
          </w:p>
        </w:tc>
        <w:tc>
          <w:tcPr>
            <w:tcW w:w="4189"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面向社会、学生和医务工作者等讲授本专业领域的专题讲座/科普</w:t>
            </w:r>
          </w:p>
        </w:tc>
        <w:tc>
          <w:tcPr>
            <w:tcW w:w="4074"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以议程为准(次)</w:t>
            </w:r>
          </w:p>
        </w:tc>
        <w:tc>
          <w:tcPr>
            <w:tcW w:w="1055" w:type="dxa"/>
            <w:vAlign w:val="center"/>
          </w:tcPr>
          <w:p>
            <w:pPr>
              <w:spacing w:before="60" w:line="235" w:lineRule="auto"/>
              <w:ind w:left="36"/>
              <w:jc w:val="center"/>
              <w:rPr>
                <w:rFonts w:ascii="宋体" w:hAnsi="宋体" w:eastAsia="宋体" w:cs="宋体"/>
                <w:color w:val="auto"/>
                <w:sz w:val="23"/>
                <w:szCs w:val="23"/>
                <w:highlight w:val="none"/>
              </w:rPr>
            </w:pPr>
          </w:p>
        </w:tc>
        <w:tc>
          <w:tcPr>
            <w:tcW w:w="1445"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3" w:hRule="atLeast"/>
        </w:trPr>
        <w:tc>
          <w:tcPr>
            <w:tcW w:w="1264" w:type="dxa"/>
            <w:vMerge w:val="continue"/>
            <w:tcBorders>
              <w:top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269"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健康宣教</w:t>
            </w:r>
          </w:p>
        </w:tc>
        <w:tc>
          <w:tcPr>
            <w:tcW w:w="1973"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升展健康教育与健康促进活动能力</w:t>
            </w:r>
          </w:p>
        </w:tc>
        <w:tc>
          <w:tcPr>
            <w:tcW w:w="4189"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参与和指导完成各级健康教育与健康促进活动的数量</w:t>
            </w:r>
          </w:p>
        </w:tc>
        <w:tc>
          <w:tcPr>
            <w:tcW w:w="4074"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完成健康教育与健康促进活动数量</w:t>
            </w:r>
          </w:p>
        </w:tc>
        <w:tc>
          <w:tcPr>
            <w:tcW w:w="1055" w:type="dxa"/>
            <w:vAlign w:val="center"/>
          </w:tcPr>
          <w:p>
            <w:pPr>
              <w:spacing w:before="60" w:line="235" w:lineRule="auto"/>
              <w:ind w:left="36"/>
              <w:jc w:val="center"/>
              <w:rPr>
                <w:rFonts w:ascii="宋体" w:hAnsi="宋体" w:eastAsia="宋体" w:cs="宋体"/>
                <w:color w:val="auto"/>
                <w:sz w:val="23"/>
                <w:szCs w:val="23"/>
                <w:highlight w:val="none"/>
              </w:rPr>
            </w:pPr>
          </w:p>
        </w:tc>
        <w:tc>
          <w:tcPr>
            <w:tcW w:w="1445" w:type="dxa"/>
            <w:vAlign w:val="center"/>
          </w:tcPr>
          <w:p>
            <w:pPr>
              <w:spacing w:before="60" w:line="235" w:lineRule="auto"/>
              <w:ind w:left="36"/>
              <w:jc w:val="center"/>
              <w:rPr>
                <w:rFonts w:ascii="宋体" w:hAnsi="宋体" w:eastAsia="宋体" w:cs="宋体"/>
                <w:color w:val="auto"/>
                <w:sz w:val="23"/>
                <w:szCs w:val="23"/>
                <w:highlight w:val="none"/>
              </w:rPr>
            </w:pPr>
          </w:p>
        </w:tc>
      </w:tr>
    </w:tbl>
    <w:p>
      <w:pPr>
        <w:jc w:val="center"/>
        <w:rPr>
          <w:color w:val="auto"/>
          <w:highlight w:val="none"/>
        </w:rPr>
      </w:pPr>
    </w:p>
    <w:p>
      <w:pPr>
        <w:jc w:val="center"/>
        <w:rPr>
          <w:color w:val="auto"/>
          <w:highlight w:val="none"/>
        </w:rPr>
      </w:pPr>
    </w:p>
    <w:p>
      <w:pPr>
        <w:spacing w:line="199" w:lineRule="exact"/>
        <w:jc w:val="left"/>
        <w:rPr>
          <w:color w:val="auto"/>
          <w:highlight w:val="none"/>
        </w:rPr>
      </w:pPr>
    </w:p>
    <w:p>
      <w:pPr>
        <w:spacing w:before="93" w:line="219" w:lineRule="auto"/>
        <w:ind w:left="335"/>
        <w:jc w:val="left"/>
        <w:rPr>
          <w:rFonts w:ascii="宋体" w:hAnsi="宋体" w:eastAsia="宋体" w:cs="宋体"/>
          <w:color w:val="auto"/>
          <w:sz w:val="24"/>
          <w:szCs w:val="24"/>
          <w:highlight w:val="none"/>
        </w:rPr>
      </w:pPr>
      <w:r>
        <w:rPr>
          <w:rFonts w:ascii="宋体" w:hAnsi="宋体" w:eastAsia="宋体" w:cs="宋体"/>
          <w:color w:val="auto"/>
          <w:spacing w:val="-1"/>
          <w:sz w:val="24"/>
          <w:szCs w:val="24"/>
          <w:highlight w:val="none"/>
        </w:rPr>
        <w:t>注：</w:t>
      </w:r>
      <w:r>
        <w:rPr>
          <w:rFonts w:hint="eastAsia" w:ascii="宋体" w:hAnsi="宋体" w:eastAsia="宋体" w:cs="宋体"/>
          <w:color w:val="auto"/>
          <w:spacing w:val="-1"/>
          <w:sz w:val="24"/>
          <w:szCs w:val="24"/>
          <w:highlight w:val="none"/>
          <w:lang w:val="en-US" w:eastAsia="zh-CN"/>
        </w:rPr>
        <w:t xml:space="preserve">  </w:t>
      </w:r>
      <w:r>
        <w:rPr>
          <w:rFonts w:ascii="宋体" w:hAnsi="宋体" w:eastAsia="宋体" w:cs="宋体"/>
          <w:color w:val="auto"/>
          <w:spacing w:val="-1"/>
          <w:sz w:val="24"/>
          <w:szCs w:val="24"/>
          <w:highlight w:val="none"/>
        </w:rPr>
        <w:t>1.处方审核主要针对调剂部门药师。</w:t>
      </w:r>
    </w:p>
    <w:p>
      <w:pPr>
        <w:spacing w:before="77" w:line="265" w:lineRule="auto"/>
        <w:ind w:left="1138" w:leftChars="528" w:right="313" w:hanging="29" w:hangingChars="12"/>
        <w:jc w:val="left"/>
        <w:rPr>
          <w:rFonts w:ascii="宋体" w:hAnsi="宋体" w:eastAsia="宋体" w:cs="宋体"/>
          <w:color w:val="auto"/>
          <w:sz w:val="24"/>
          <w:szCs w:val="24"/>
          <w:highlight w:val="none"/>
        </w:rPr>
      </w:pPr>
      <w:r>
        <w:rPr>
          <w:rFonts w:ascii="宋体" w:hAnsi="宋体" w:eastAsia="宋体" w:cs="宋体"/>
          <w:color w:val="auto"/>
          <w:spacing w:val="1"/>
          <w:sz w:val="24"/>
          <w:szCs w:val="24"/>
          <w:highlight w:val="none"/>
        </w:rPr>
        <w:t>2.药学监护率：实施药学监护的住院患者数占同期申报人所在临</w:t>
      </w:r>
      <w:r>
        <w:rPr>
          <w:rFonts w:ascii="宋体" w:hAnsi="宋体" w:eastAsia="宋体" w:cs="宋体"/>
          <w:color w:val="auto"/>
          <w:sz w:val="24"/>
          <w:szCs w:val="24"/>
          <w:highlight w:val="none"/>
        </w:rPr>
        <w:t>床科室住院患者总数的比例。药师可通过药学查房、药物</w:t>
      </w:r>
      <w:r>
        <w:rPr>
          <w:rFonts w:ascii="宋体" w:hAnsi="宋体" w:eastAsia="宋体" w:cs="宋体"/>
          <w:color w:val="auto"/>
          <w:spacing w:val="1"/>
          <w:sz w:val="24"/>
          <w:szCs w:val="24"/>
          <w:highlight w:val="none"/>
        </w:rPr>
        <w:t>重整、用药教育、药学会诊、用药咨询、制定药学监护计划等形式开展药学监护工作，药师应</w:t>
      </w:r>
      <w:r>
        <w:rPr>
          <w:rFonts w:ascii="宋体" w:hAnsi="宋体" w:eastAsia="宋体" w:cs="宋体"/>
          <w:color w:val="auto"/>
          <w:sz w:val="24"/>
          <w:szCs w:val="24"/>
          <w:highlight w:val="none"/>
        </w:rPr>
        <w:t>当书写药学监护记录表或在病历中记录相关工作。计算公式为：药学监护率=实施药学监护的住院患者数/同期申报人所在临</w:t>
      </w:r>
      <w:r>
        <w:rPr>
          <w:rFonts w:ascii="宋体" w:hAnsi="宋体" w:eastAsia="宋体" w:cs="宋体"/>
          <w:color w:val="auto"/>
          <w:spacing w:val="-1"/>
          <w:sz w:val="24"/>
          <w:szCs w:val="24"/>
          <w:highlight w:val="none"/>
        </w:rPr>
        <w:t>床科室住院患者总数</w:t>
      </w:r>
      <w:r>
        <w:rPr>
          <w:rFonts w:ascii="宋体" w:hAnsi="宋体" w:eastAsia="宋体" w:cs="宋体"/>
          <w:color w:val="auto"/>
          <w:spacing w:val="3"/>
          <w:sz w:val="24"/>
          <w:szCs w:val="24"/>
          <w:highlight w:val="none"/>
        </w:rPr>
        <w:t>的比例，如某药师晋升周期内在心内科开展临床药学工作</w:t>
      </w:r>
      <w:r>
        <w:rPr>
          <w:rFonts w:ascii="宋体" w:hAnsi="宋体" w:eastAsia="宋体" w:cs="宋体"/>
          <w:color w:val="auto"/>
          <w:spacing w:val="2"/>
          <w:sz w:val="24"/>
          <w:szCs w:val="24"/>
          <w:highlight w:val="none"/>
        </w:rPr>
        <w:t>，该药师晋升周期内实施药学监护的住院患者数为400人，同</w:t>
      </w:r>
      <w:r>
        <w:rPr>
          <w:rFonts w:ascii="宋体" w:hAnsi="宋体" w:eastAsia="宋体" w:cs="宋体"/>
          <w:color w:val="auto"/>
          <w:spacing w:val="5"/>
          <w:sz w:val="24"/>
          <w:szCs w:val="24"/>
          <w:highlight w:val="none"/>
        </w:rPr>
        <w:t>期心内科住院患者总数为4000</w:t>
      </w:r>
      <w:r>
        <w:rPr>
          <w:rFonts w:hint="eastAsia" w:ascii="宋体" w:hAnsi="宋体" w:eastAsia="宋体" w:cs="宋体"/>
          <w:color w:val="auto"/>
          <w:spacing w:val="5"/>
          <w:sz w:val="24"/>
          <w:szCs w:val="24"/>
          <w:highlight w:val="none"/>
          <w:lang w:val="en-US" w:eastAsia="zh-CN"/>
        </w:rPr>
        <w:t>人，</w:t>
      </w:r>
      <w:bookmarkStart w:id="0" w:name="_GoBack"/>
      <w:bookmarkEnd w:id="0"/>
      <w:r>
        <w:rPr>
          <w:rFonts w:ascii="宋体" w:hAnsi="宋体" w:eastAsia="宋体" w:cs="宋体"/>
          <w:color w:val="auto"/>
          <w:spacing w:val="5"/>
          <w:sz w:val="24"/>
          <w:szCs w:val="24"/>
          <w:highlight w:val="none"/>
        </w:rPr>
        <w:t>该药师晋升周期内药学监护率为10%。以此类推。</w:t>
      </w:r>
    </w:p>
    <w:p>
      <w:pPr>
        <w:spacing w:before="164" w:line="218" w:lineRule="auto"/>
        <w:jc w:val="center"/>
        <w:rPr>
          <w:rFonts w:hint="eastAsia" w:ascii="宋体" w:hAnsi="宋体" w:eastAsia="方正小标宋简体" w:cs="宋体"/>
          <w:b/>
          <w:bCs/>
          <w:color w:val="auto"/>
          <w:spacing w:val="-4"/>
          <w:sz w:val="44"/>
          <w:szCs w:val="44"/>
          <w:highlight w:val="none"/>
          <w:lang w:eastAsia="zh-CN"/>
        </w:rPr>
      </w:pPr>
      <w:r>
        <w:rPr>
          <w:rFonts w:hint="eastAsia" w:ascii="方正小标宋简体" w:hAnsi="方正小标宋简体" w:eastAsia="方正小标宋简体" w:cs="方正小标宋简体"/>
          <w:b w:val="0"/>
          <w:bCs w:val="0"/>
          <w:color w:val="auto"/>
          <w:spacing w:val="-4"/>
          <w:sz w:val="38"/>
          <w:szCs w:val="38"/>
          <w:highlight w:val="none"/>
        </w:rPr>
        <w:t>中药学专业</w:t>
      </w:r>
      <w:r>
        <w:rPr>
          <w:rFonts w:hint="eastAsia" w:ascii="方正小标宋简体" w:hAnsi="方正小标宋简体" w:eastAsia="方正小标宋简体" w:cs="方正小标宋简体"/>
          <w:b w:val="0"/>
          <w:bCs w:val="0"/>
          <w:color w:val="auto"/>
          <w:spacing w:val="-4"/>
          <w:sz w:val="38"/>
          <w:szCs w:val="38"/>
          <w:highlight w:val="none"/>
          <w:lang w:eastAsia="zh-CN"/>
        </w:rPr>
        <w:t>高级职称评价指标核定表</w:t>
      </w:r>
    </w:p>
    <w:p>
      <w:pPr>
        <w:spacing w:before="154" w:line="218" w:lineRule="auto"/>
        <w:jc w:val="left"/>
        <w:rPr>
          <w:color w:val="auto"/>
          <w:highlight w:val="none"/>
        </w:rPr>
      </w:pPr>
      <w:r>
        <w:rPr>
          <w:rFonts w:hint="eastAsia" w:ascii="宋体" w:hAnsi="宋体" w:eastAsia="宋体" w:cs="宋体"/>
          <w:b/>
          <w:bCs/>
          <w:color w:val="auto"/>
          <w:spacing w:val="-4"/>
          <w:sz w:val="24"/>
          <w:szCs w:val="24"/>
          <w:highlight w:val="none"/>
          <w:lang w:eastAsia="zh-CN"/>
        </w:rPr>
        <w:t>申报单位：（盖章）</w:t>
      </w:r>
      <w:r>
        <w:rPr>
          <w:rFonts w:hint="eastAsia" w:ascii="宋体" w:hAnsi="宋体" w:eastAsia="宋体" w:cs="宋体"/>
          <w:b/>
          <w:bCs/>
          <w:color w:val="auto"/>
          <w:spacing w:val="-4"/>
          <w:sz w:val="24"/>
          <w:szCs w:val="24"/>
          <w:highlight w:val="none"/>
          <w:lang w:val="en-US" w:eastAsia="zh-CN"/>
        </w:rPr>
        <w:t xml:space="preserve">                                  申报人姓名：                             申报专业技术职务：</w:t>
      </w:r>
    </w:p>
    <w:p>
      <w:pPr>
        <w:spacing w:line="25" w:lineRule="exact"/>
        <w:jc w:val="center"/>
        <w:rPr>
          <w:color w:val="auto"/>
          <w:highlight w:val="none"/>
        </w:rPr>
      </w:pPr>
    </w:p>
    <w:tbl>
      <w:tblPr>
        <w:tblStyle w:val="5"/>
        <w:tblW w:w="1525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75"/>
        <w:gridCol w:w="1211"/>
        <w:gridCol w:w="1722"/>
        <w:gridCol w:w="3489"/>
        <w:gridCol w:w="5227"/>
        <w:gridCol w:w="1022"/>
        <w:gridCol w:w="141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75" w:type="dxa"/>
            <w:vAlign w:val="center"/>
          </w:tcPr>
          <w:p>
            <w:pPr>
              <w:spacing w:before="159" w:line="218" w:lineRule="auto"/>
              <w:jc w:val="center"/>
              <w:rPr>
                <w:rFonts w:ascii="宋体" w:hAnsi="宋体" w:eastAsia="宋体" w:cs="宋体"/>
                <w:color w:val="auto"/>
                <w:sz w:val="24"/>
                <w:szCs w:val="24"/>
                <w:highlight w:val="none"/>
              </w:rPr>
            </w:pPr>
            <w:r>
              <w:rPr>
                <w:rFonts w:ascii="宋体" w:hAnsi="宋体" w:eastAsia="宋体" w:cs="宋体"/>
                <w:b/>
                <w:bCs/>
                <w:color w:val="auto"/>
                <w:spacing w:val="-5"/>
                <w:sz w:val="24"/>
                <w:szCs w:val="24"/>
                <w:highlight w:val="none"/>
              </w:rPr>
              <w:t>评价维度</w:t>
            </w:r>
          </w:p>
        </w:tc>
        <w:tc>
          <w:tcPr>
            <w:tcW w:w="1211" w:type="dxa"/>
            <w:vAlign w:val="center"/>
          </w:tcPr>
          <w:p>
            <w:pPr>
              <w:spacing w:before="162" w:line="220" w:lineRule="auto"/>
              <w:jc w:val="center"/>
              <w:rPr>
                <w:rFonts w:ascii="宋体" w:hAnsi="宋体" w:eastAsia="宋体" w:cs="宋体"/>
                <w:color w:val="auto"/>
                <w:sz w:val="24"/>
                <w:szCs w:val="24"/>
                <w:highlight w:val="none"/>
              </w:rPr>
            </w:pPr>
            <w:r>
              <w:rPr>
                <w:rFonts w:ascii="宋体" w:hAnsi="宋体" w:eastAsia="宋体" w:cs="宋体"/>
                <w:b/>
                <w:bCs/>
                <w:color w:val="auto"/>
                <w:spacing w:val="-5"/>
                <w:sz w:val="24"/>
                <w:szCs w:val="24"/>
                <w:highlight w:val="none"/>
              </w:rPr>
              <w:t>二级指标</w:t>
            </w:r>
          </w:p>
        </w:tc>
        <w:tc>
          <w:tcPr>
            <w:tcW w:w="1722" w:type="dxa"/>
            <w:vAlign w:val="center"/>
          </w:tcPr>
          <w:p>
            <w:pPr>
              <w:spacing w:before="162" w:line="220" w:lineRule="auto"/>
              <w:jc w:val="center"/>
              <w:rPr>
                <w:rFonts w:ascii="宋体" w:hAnsi="宋体" w:eastAsia="宋体" w:cs="宋体"/>
                <w:color w:val="auto"/>
                <w:sz w:val="24"/>
                <w:szCs w:val="24"/>
                <w:highlight w:val="none"/>
              </w:rPr>
            </w:pPr>
            <w:r>
              <w:rPr>
                <w:rFonts w:ascii="宋体" w:hAnsi="宋体" w:eastAsia="宋体" w:cs="宋体"/>
                <w:b/>
                <w:bCs/>
                <w:color w:val="auto"/>
                <w:spacing w:val="-5"/>
                <w:sz w:val="24"/>
                <w:szCs w:val="24"/>
                <w:highlight w:val="none"/>
              </w:rPr>
              <w:t>三级指标</w:t>
            </w:r>
          </w:p>
        </w:tc>
        <w:tc>
          <w:tcPr>
            <w:tcW w:w="3489" w:type="dxa"/>
            <w:vAlign w:val="center"/>
          </w:tcPr>
          <w:p>
            <w:pPr>
              <w:spacing w:before="162" w:line="220" w:lineRule="auto"/>
              <w:jc w:val="center"/>
              <w:rPr>
                <w:rFonts w:ascii="宋体" w:hAnsi="宋体" w:eastAsia="宋体" w:cs="宋体"/>
                <w:color w:val="auto"/>
                <w:sz w:val="24"/>
                <w:szCs w:val="24"/>
                <w:highlight w:val="none"/>
              </w:rPr>
            </w:pPr>
            <w:r>
              <w:rPr>
                <w:rFonts w:ascii="宋体" w:hAnsi="宋体" w:eastAsia="宋体" w:cs="宋体"/>
                <w:b/>
                <w:bCs/>
                <w:color w:val="auto"/>
                <w:spacing w:val="8"/>
                <w:sz w:val="24"/>
                <w:szCs w:val="24"/>
                <w:highlight w:val="none"/>
              </w:rPr>
              <w:t>指标定义</w:t>
            </w:r>
          </w:p>
        </w:tc>
        <w:tc>
          <w:tcPr>
            <w:tcW w:w="5227" w:type="dxa"/>
            <w:vAlign w:val="center"/>
          </w:tcPr>
          <w:p>
            <w:pPr>
              <w:spacing w:before="161" w:line="219" w:lineRule="auto"/>
              <w:jc w:val="center"/>
              <w:rPr>
                <w:rFonts w:ascii="宋体" w:hAnsi="宋体" w:eastAsia="宋体" w:cs="宋体"/>
                <w:color w:val="auto"/>
                <w:sz w:val="24"/>
                <w:szCs w:val="24"/>
                <w:highlight w:val="none"/>
              </w:rPr>
            </w:pPr>
            <w:r>
              <w:rPr>
                <w:rFonts w:ascii="宋体" w:hAnsi="宋体" w:eastAsia="宋体" w:cs="宋体"/>
                <w:b/>
                <w:bCs/>
                <w:color w:val="auto"/>
                <w:spacing w:val="-5"/>
                <w:sz w:val="24"/>
                <w:szCs w:val="24"/>
                <w:highlight w:val="none"/>
              </w:rPr>
              <w:t>计算方法</w:t>
            </w:r>
          </w:p>
        </w:tc>
        <w:tc>
          <w:tcPr>
            <w:tcW w:w="1022" w:type="dxa"/>
            <w:vAlign w:val="center"/>
          </w:tcPr>
          <w:p>
            <w:pPr>
              <w:spacing w:before="101" w:line="219" w:lineRule="auto"/>
              <w:jc w:val="center"/>
              <w:rPr>
                <w:rFonts w:hint="eastAsia" w:ascii="宋体" w:hAnsi="宋体" w:eastAsia="宋体" w:cs="宋体"/>
                <w:b/>
                <w:bCs/>
                <w:snapToGrid w:val="0"/>
                <w:color w:val="auto"/>
                <w:spacing w:val="2"/>
                <w:kern w:val="0"/>
                <w:sz w:val="24"/>
                <w:szCs w:val="24"/>
                <w:highlight w:val="none"/>
                <w:lang w:eastAsia="zh-CN"/>
              </w:rPr>
            </w:pPr>
            <w:r>
              <w:rPr>
                <w:rFonts w:hint="eastAsia" w:ascii="宋体" w:hAnsi="宋体" w:eastAsia="宋体" w:cs="宋体"/>
                <w:b/>
                <w:bCs/>
                <w:color w:val="auto"/>
                <w:spacing w:val="2"/>
                <w:sz w:val="24"/>
                <w:szCs w:val="24"/>
                <w:highlight w:val="none"/>
                <w:lang w:eastAsia="zh-CN"/>
              </w:rPr>
              <w:t>指标完成情况</w:t>
            </w:r>
          </w:p>
        </w:tc>
        <w:tc>
          <w:tcPr>
            <w:tcW w:w="1412" w:type="dxa"/>
            <w:vAlign w:val="center"/>
          </w:tcPr>
          <w:p>
            <w:pPr>
              <w:spacing w:before="101" w:line="219" w:lineRule="auto"/>
              <w:jc w:val="center"/>
              <w:rPr>
                <w:rFonts w:ascii="宋体" w:hAnsi="宋体" w:eastAsia="宋体" w:cs="宋体"/>
                <w:b/>
                <w:bCs/>
                <w:snapToGrid w:val="0"/>
                <w:color w:val="auto"/>
                <w:spacing w:val="2"/>
                <w:kern w:val="0"/>
                <w:sz w:val="24"/>
                <w:szCs w:val="24"/>
                <w:highlight w:val="none"/>
              </w:rPr>
            </w:pPr>
            <w:r>
              <w:rPr>
                <w:rFonts w:hint="eastAsia" w:ascii="宋体" w:hAnsi="宋体" w:eastAsia="宋体" w:cs="宋体"/>
                <w:b/>
                <w:bCs/>
                <w:color w:val="auto"/>
                <w:spacing w:val="7"/>
                <w:sz w:val="24"/>
                <w:szCs w:val="24"/>
                <w:highlight w:val="none"/>
                <w:lang w:eastAsia="zh-CN"/>
              </w:rPr>
              <w:t>责任科室负责人签字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9" w:hRule="atLeast"/>
        </w:trPr>
        <w:tc>
          <w:tcPr>
            <w:tcW w:w="1175" w:type="dxa"/>
            <w:vMerge w:val="restart"/>
            <w:tcBorders>
              <w:bottom w:val="nil"/>
            </w:tcBorders>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技术能力</w:t>
            </w:r>
          </w:p>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(至少需</w:t>
            </w:r>
          </w:p>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满足2项</w:t>
            </w:r>
          </w:p>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二级指标)</w:t>
            </w:r>
          </w:p>
        </w:tc>
        <w:tc>
          <w:tcPr>
            <w:tcW w:w="1211" w:type="dxa"/>
            <w:vMerge w:val="restart"/>
            <w:tcBorders>
              <w:bottom w:val="nil"/>
            </w:tcBorders>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专业技术实践经验</w:t>
            </w:r>
          </w:p>
        </w:tc>
        <w:tc>
          <w:tcPr>
            <w:tcW w:w="1722" w:type="dxa"/>
            <w:vAlign w:val="center"/>
          </w:tcPr>
          <w:p>
            <w:pPr>
              <w:spacing w:before="60" w:line="235" w:lineRule="auto"/>
              <w:ind w:left="36"/>
              <w:jc w:val="center"/>
              <w:rPr>
                <w:rFonts w:ascii="宋体" w:hAnsi="宋体" w:eastAsia="宋体" w:cs="宋体"/>
                <w:color w:val="auto"/>
                <w:sz w:val="23"/>
                <w:szCs w:val="23"/>
                <w:highlight w:val="none"/>
              </w:rPr>
            </w:pPr>
            <w:r>
              <w:rPr>
                <w:rFonts w:hint="eastAsia" w:ascii="宋体" w:hAnsi="宋体" w:eastAsia="宋体" w:cs="宋体"/>
                <w:color w:val="auto"/>
                <w:sz w:val="23"/>
                <w:szCs w:val="23"/>
                <w:highlight w:val="none"/>
              </w:rPr>
              <w:t>主持开展本专业新技术新项目能力</w:t>
            </w:r>
          </w:p>
        </w:tc>
        <w:tc>
          <w:tcPr>
            <w:tcW w:w="3489"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主持开展药学创新技术、新项目，经单位审批立项并付诸实施</w:t>
            </w:r>
          </w:p>
        </w:tc>
        <w:tc>
          <w:tcPr>
            <w:tcW w:w="5227"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主持开展创新技术或新项目案例数量</w:t>
            </w:r>
          </w:p>
        </w:tc>
        <w:tc>
          <w:tcPr>
            <w:tcW w:w="1022" w:type="dxa"/>
            <w:vAlign w:val="center"/>
          </w:tcPr>
          <w:p>
            <w:pPr>
              <w:spacing w:before="60" w:line="235" w:lineRule="auto"/>
              <w:ind w:left="36"/>
              <w:jc w:val="center"/>
              <w:rPr>
                <w:rFonts w:ascii="宋体" w:hAnsi="宋体" w:eastAsia="宋体" w:cs="宋体"/>
                <w:color w:val="auto"/>
                <w:sz w:val="23"/>
                <w:szCs w:val="23"/>
                <w:highlight w:val="none"/>
              </w:rPr>
            </w:pPr>
          </w:p>
        </w:tc>
        <w:tc>
          <w:tcPr>
            <w:tcW w:w="1412"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8" w:hRule="atLeast"/>
        </w:trPr>
        <w:tc>
          <w:tcPr>
            <w:tcW w:w="1175" w:type="dxa"/>
            <w:vMerge w:val="continue"/>
            <w:tcBorders>
              <w:top w:val="nil"/>
              <w:bottom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211" w:type="dxa"/>
            <w:vMerge w:val="continue"/>
            <w:tcBorders>
              <w:top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722"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技术分析及解决方案</w:t>
            </w:r>
          </w:p>
        </w:tc>
        <w:tc>
          <w:tcPr>
            <w:tcW w:w="3489"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运用实践经验独立解决本专业复杂疑难的技术问题</w:t>
            </w:r>
          </w:p>
        </w:tc>
        <w:tc>
          <w:tcPr>
            <w:tcW w:w="5227"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含病史分析、药物治疗问题、药物治疗方案选择、药学监护、患者转归等要素为一个完整案例</w:t>
            </w:r>
          </w:p>
        </w:tc>
        <w:tc>
          <w:tcPr>
            <w:tcW w:w="1022" w:type="dxa"/>
            <w:vAlign w:val="center"/>
          </w:tcPr>
          <w:p>
            <w:pPr>
              <w:spacing w:before="60" w:line="235" w:lineRule="auto"/>
              <w:ind w:left="36"/>
              <w:jc w:val="center"/>
              <w:rPr>
                <w:rFonts w:ascii="宋体" w:hAnsi="宋体" w:eastAsia="宋体" w:cs="宋体"/>
                <w:color w:val="auto"/>
                <w:sz w:val="23"/>
                <w:szCs w:val="23"/>
                <w:highlight w:val="none"/>
              </w:rPr>
            </w:pPr>
          </w:p>
        </w:tc>
        <w:tc>
          <w:tcPr>
            <w:tcW w:w="1412"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9" w:hRule="atLeast"/>
        </w:trPr>
        <w:tc>
          <w:tcPr>
            <w:tcW w:w="1175" w:type="dxa"/>
            <w:vMerge w:val="continue"/>
            <w:tcBorders>
              <w:top w:val="nil"/>
              <w:bottom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211" w:type="dxa"/>
            <w:vMerge w:val="restart"/>
            <w:tcBorders>
              <w:bottom w:val="nil"/>
            </w:tcBorders>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设备管理</w:t>
            </w:r>
          </w:p>
        </w:tc>
        <w:tc>
          <w:tcPr>
            <w:tcW w:w="1722"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专业设备日常管理、维护及使用</w:t>
            </w:r>
          </w:p>
        </w:tc>
        <w:tc>
          <w:tcPr>
            <w:tcW w:w="3489"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熟悉本专业设备的工作原理、操作性能和保养维护要点</w:t>
            </w:r>
          </w:p>
        </w:tc>
        <w:tc>
          <w:tcPr>
            <w:tcW w:w="5227"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管理重大设备台数或软件系统数(自动化设备、大型检测设备、制药设备或计算机管理系统)</w:t>
            </w:r>
          </w:p>
        </w:tc>
        <w:tc>
          <w:tcPr>
            <w:tcW w:w="1022" w:type="dxa"/>
            <w:vAlign w:val="center"/>
          </w:tcPr>
          <w:p>
            <w:pPr>
              <w:spacing w:before="60" w:line="235" w:lineRule="auto"/>
              <w:ind w:left="36"/>
              <w:jc w:val="center"/>
              <w:rPr>
                <w:rFonts w:ascii="宋体" w:hAnsi="宋体" w:eastAsia="宋体" w:cs="宋体"/>
                <w:color w:val="auto"/>
                <w:sz w:val="23"/>
                <w:szCs w:val="23"/>
                <w:highlight w:val="none"/>
              </w:rPr>
            </w:pPr>
          </w:p>
        </w:tc>
        <w:tc>
          <w:tcPr>
            <w:tcW w:w="1412"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9" w:hRule="atLeast"/>
        </w:trPr>
        <w:tc>
          <w:tcPr>
            <w:tcW w:w="1175" w:type="dxa"/>
            <w:vMerge w:val="continue"/>
            <w:tcBorders>
              <w:top w:val="nil"/>
              <w:bottom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211" w:type="dxa"/>
            <w:vMerge w:val="continue"/>
            <w:tcBorders>
              <w:top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722"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药学信息管理能力</w:t>
            </w:r>
          </w:p>
        </w:tc>
        <w:tc>
          <w:tcPr>
            <w:tcW w:w="3489"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药学信息搜集、保管、整理、评价、传递、提供和利用等(药学服务、医院处方集、药讯)</w:t>
            </w:r>
          </w:p>
        </w:tc>
        <w:tc>
          <w:tcPr>
            <w:tcW w:w="5227"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实施方案例数</w:t>
            </w:r>
          </w:p>
        </w:tc>
        <w:tc>
          <w:tcPr>
            <w:tcW w:w="1022" w:type="dxa"/>
            <w:vAlign w:val="center"/>
          </w:tcPr>
          <w:p>
            <w:pPr>
              <w:spacing w:before="60" w:line="235" w:lineRule="auto"/>
              <w:ind w:left="36"/>
              <w:jc w:val="center"/>
              <w:rPr>
                <w:rFonts w:ascii="宋体" w:hAnsi="宋体" w:eastAsia="宋体" w:cs="宋体"/>
                <w:color w:val="auto"/>
                <w:sz w:val="23"/>
                <w:szCs w:val="23"/>
                <w:highlight w:val="none"/>
              </w:rPr>
            </w:pPr>
          </w:p>
        </w:tc>
        <w:tc>
          <w:tcPr>
            <w:tcW w:w="1412"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9" w:hRule="atLeast"/>
        </w:trPr>
        <w:tc>
          <w:tcPr>
            <w:tcW w:w="1175" w:type="dxa"/>
            <w:vMerge w:val="continue"/>
            <w:tcBorders>
              <w:top w:val="nil"/>
              <w:bottom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211" w:type="dxa"/>
            <w:vMerge w:val="restart"/>
            <w:tcBorders>
              <w:bottom w:val="nil"/>
            </w:tcBorders>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业务管理</w:t>
            </w:r>
          </w:p>
        </w:tc>
        <w:tc>
          <w:tcPr>
            <w:tcW w:w="1722"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本专业技术管理能力</w:t>
            </w:r>
          </w:p>
        </w:tc>
        <w:tc>
          <w:tcPr>
            <w:tcW w:w="3489"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组织、领导本专业业务技术工作和专业技术项目，成果显著</w:t>
            </w:r>
          </w:p>
        </w:tc>
        <w:tc>
          <w:tcPr>
            <w:tcW w:w="5227"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技术项目数</w:t>
            </w:r>
          </w:p>
        </w:tc>
        <w:tc>
          <w:tcPr>
            <w:tcW w:w="1022" w:type="dxa"/>
            <w:vAlign w:val="center"/>
          </w:tcPr>
          <w:p>
            <w:pPr>
              <w:spacing w:before="60" w:line="235" w:lineRule="auto"/>
              <w:ind w:left="36"/>
              <w:jc w:val="center"/>
              <w:rPr>
                <w:rFonts w:ascii="宋体" w:hAnsi="宋体" w:eastAsia="宋体" w:cs="宋体"/>
                <w:color w:val="auto"/>
                <w:sz w:val="23"/>
                <w:szCs w:val="23"/>
                <w:highlight w:val="none"/>
              </w:rPr>
            </w:pPr>
          </w:p>
        </w:tc>
        <w:tc>
          <w:tcPr>
            <w:tcW w:w="1412"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trPr>
        <w:tc>
          <w:tcPr>
            <w:tcW w:w="1175" w:type="dxa"/>
            <w:vMerge w:val="continue"/>
            <w:tcBorders>
              <w:top w:val="nil"/>
              <w:bottom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211" w:type="dxa"/>
            <w:vMerge w:val="continue"/>
            <w:tcBorders>
              <w:top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722"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本专业质量管理能力</w:t>
            </w:r>
          </w:p>
        </w:tc>
        <w:tc>
          <w:tcPr>
            <w:tcW w:w="3489"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主持制定机构内部制度、标准操作规程(sop)等</w:t>
            </w:r>
          </w:p>
        </w:tc>
        <w:tc>
          <w:tcPr>
            <w:tcW w:w="5227"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主持制定操作规程和规章制度数量</w:t>
            </w:r>
          </w:p>
        </w:tc>
        <w:tc>
          <w:tcPr>
            <w:tcW w:w="1022" w:type="dxa"/>
            <w:vAlign w:val="center"/>
          </w:tcPr>
          <w:p>
            <w:pPr>
              <w:spacing w:before="60" w:line="235" w:lineRule="auto"/>
              <w:ind w:left="36"/>
              <w:jc w:val="center"/>
              <w:rPr>
                <w:rFonts w:ascii="宋体" w:hAnsi="宋体" w:eastAsia="宋体" w:cs="宋体"/>
                <w:color w:val="auto"/>
                <w:sz w:val="23"/>
                <w:szCs w:val="23"/>
                <w:highlight w:val="none"/>
              </w:rPr>
            </w:pPr>
          </w:p>
        </w:tc>
        <w:tc>
          <w:tcPr>
            <w:tcW w:w="1412"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9" w:hRule="atLeast"/>
        </w:trPr>
        <w:tc>
          <w:tcPr>
            <w:tcW w:w="1175" w:type="dxa"/>
            <w:vMerge w:val="continue"/>
            <w:tcBorders>
              <w:top w:val="nil"/>
              <w:bottom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211"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药物试验</w:t>
            </w:r>
          </w:p>
        </w:tc>
        <w:tc>
          <w:tcPr>
            <w:tcW w:w="1722"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药物临床试验有效性</w:t>
            </w:r>
          </w:p>
        </w:tc>
        <w:tc>
          <w:tcPr>
            <w:tcW w:w="3489"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药物试验过程中出现某一医学事件或达到预定标准(病情好转或加重)的情况</w:t>
            </w:r>
          </w:p>
        </w:tc>
        <w:tc>
          <w:tcPr>
            <w:tcW w:w="5227"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以试验报告或结果为准</w:t>
            </w:r>
          </w:p>
        </w:tc>
        <w:tc>
          <w:tcPr>
            <w:tcW w:w="1022" w:type="dxa"/>
            <w:vAlign w:val="center"/>
          </w:tcPr>
          <w:p>
            <w:pPr>
              <w:spacing w:before="60" w:line="235" w:lineRule="auto"/>
              <w:ind w:left="36"/>
              <w:jc w:val="center"/>
              <w:rPr>
                <w:rFonts w:ascii="宋体" w:hAnsi="宋体" w:eastAsia="宋体" w:cs="宋体"/>
                <w:color w:val="auto"/>
                <w:sz w:val="23"/>
                <w:szCs w:val="23"/>
                <w:highlight w:val="none"/>
              </w:rPr>
            </w:pPr>
          </w:p>
        </w:tc>
        <w:tc>
          <w:tcPr>
            <w:tcW w:w="1412"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4" w:hRule="atLeast"/>
        </w:trPr>
        <w:tc>
          <w:tcPr>
            <w:tcW w:w="1175" w:type="dxa"/>
            <w:vMerge w:val="continue"/>
            <w:tcBorders>
              <w:top w:val="nil"/>
            </w:tcBorders>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exact"/>
              <w:jc w:val="center"/>
              <w:textAlignment w:val="baseline"/>
              <w:rPr>
                <w:rFonts w:ascii="Arial"/>
                <w:color w:val="auto"/>
                <w:sz w:val="21"/>
                <w:highlight w:val="none"/>
              </w:rPr>
            </w:pPr>
          </w:p>
        </w:tc>
        <w:tc>
          <w:tcPr>
            <w:tcW w:w="1211" w:type="dxa"/>
            <w:vAlign w:val="center"/>
          </w:tcPr>
          <w:p>
            <w:pPr>
              <w:keepNext w:val="0"/>
              <w:keepLines w:val="0"/>
              <w:pageBreakBefore w:val="0"/>
              <w:widowControl/>
              <w:kinsoku w:val="0"/>
              <w:wordWrap/>
              <w:overflowPunct/>
              <w:topLinePunct w:val="0"/>
              <w:autoSpaceDE w:val="0"/>
              <w:autoSpaceDN w:val="0"/>
              <w:bidi w:val="0"/>
              <w:adjustRightInd w:val="0"/>
              <w:snapToGrid w:val="0"/>
              <w:spacing w:before="229" w:line="240" w:lineRule="exact"/>
              <w:ind w:left="170"/>
              <w:jc w:val="center"/>
              <w:textAlignment w:val="baseline"/>
              <w:rPr>
                <w:rFonts w:ascii="宋体" w:hAnsi="宋体" w:eastAsia="宋体" w:cs="宋体"/>
                <w:color w:val="auto"/>
                <w:sz w:val="24"/>
                <w:szCs w:val="24"/>
                <w:highlight w:val="none"/>
              </w:rPr>
            </w:pPr>
            <w:r>
              <w:rPr>
                <w:rFonts w:ascii="宋体" w:hAnsi="宋体" w:eastAsia="宋体" w:cs="宋体"/>
                <w:color w:val="auto"/>
                <w:spacing w:val="-2"/>
                <w:sz w:val="24"/>
                <w:szCs w:val="24"/>
                <w:highlight w:val="none"/>
              </w:rPr>
              <w:t>循证决策</w:t>
            </w:r>
          </w:p>
        </w:tc>
        <w:tc>
          <w:tcPr>
            <w:tcW w:w="1722" w:type="dxa"/>
            <w:vAlign w:val="center"/>
          </w:tcPr>
          <w:p>
            <w:pPr>
              <w:keepNext w:val="0"/>
              <w:keepLines w:val="0"/>
              <w:pageBreakBefore w:val="0"/>
              <w:widowControl/>
              <w:kinsoku w:val="0"/>
              <w:wordWrap/>
              <w:overflowPunct/>
              <w:topLinePunct w:val="0"/>
              <w:autoSpaceDE w:val="0"/>
              <w:autoSpaceDN w:val="0"/>
              <w:bidi w:val="0"/>
              <w:adjustRightInd w:val="0"/>
              <w:snapToGrid w:val="0"/>
              <w:spacing w:before="229" w:line="240" w:lineRule="exact"/>
              <w:ind w:left="131"/>
              <w:jc w:val="center"/>
              <w:textAlignment w:val="baseline"/>
              <w:rPr>
                <w:rFonts w:ascii="宋体" w:hAnsi="宋体" w:eastAsia="宋体" w:cs="宋体"/>
                <w:color w:val="auto"/>
                <w:sz w:val="24"/>
                <w:szCs w:val="24"/>
                <w:highlight w:val="none"/>
              </w:rPr>
            </w:pPr>
            <w:r>
              <w:rPr>
                <w:rFonts w:ascii="宋体" w:hAnsi="宋体" w:eastAsia="宋体" w:cs="宋体"/>
                <w:color w:val="auto"/>
                <w:spacing w:val="3"/>
                <w:sz w:val="24"/>
                <w:szCs w:val="24"/>
                <w:highlight w:val="none"/>
              </w:rPr>
              <w:t>循证决策能力</w:t>
            </w:r>
          </w:p>
        </w:tc>
        <w:tc>
          <w:tcPr>
            <w:tcW w:w="3489" w:type="dxa"/>
            <w:vAlign w:val="center"/>
          </w:tcPr>
          <w:p>
            <w:pPr>
              <w:keepNext w:val="0"/>
              <w:keepLines w:val="0"/>
              <w:pageBreakBefore w:val="0"/>
              <w:widowControl/>
              <w:kinsoku w:val="0"/>
              <w:wordWrap/>
              <w:overflowPunct/>
              <w:topLinePunct w:val="0"/>
              <w:autoSpaceDE w:val="0"/>
              <w:autoSpaceDN w:val="0"/>
              <w:bidi w:val="0"/>
              <w:adjustRightInd w:val="0"/>
              <w:snapToGrid w:val="0"/>
              <w:spacing w:before="227" w:line="240" w:lineRule="exact"/>
              <w:ind w:left="143"/>
              <w:jc w:val="center"/>
              <w:textAlignment w:val="baseline"/>
              <w:rPr>
                <w:rFonts w:ascii="宋体" w:hAnsi="宋体" w:eastAsia="宋体" w:cs="宋体"/>
                <w:color w:val="auto"/>
                <w:sz w:val="24"/>
                <w:szCs w:val="24"/>
                <w:highlight w:val="none"/>
              </w:rPr>
            </w:pPr>
            <w:r>
              <w:rPr>
                <w:rFonts w:ascii="宋体" w:hAnsi="宋体" w:eastAsia="宋体" w:cs="宋体"/>
                <w:color w:val="auto"/>
                <w:spacing w:val="1"/>
                <w:sz w:val="24"/>
                <w:szCs w:val="24"/>
                <w:highlight w:val="none"/>
              </w:rPr>
              <w:t>运用循证依据，独立解决本专业实际问题的能</w:t>
            </w:r>
            <w:r>
              <w:rPr>
                <w:rFonts w:ascii="宋体" w:hAnsi="宋体" w:eastAsia="宋体" w:cs="宋体"/>
                <w:color w:val="auto"/>
                <w:sz w:val="24"/>
                <w:szCs w:val="24"/>
                <w:highlight w:val="none"/>
              </w:rPr>
              <w:t>力</w:t>
            </w:r>
          </w:p>
        </w:tc>
        <w:tc>
          <w:tcPr>
            <w:tcW w:w="5227" w:type="dxa"/>
            <w:vAlign w:val="center"/>
          </w:tcPr>
          <w:p>
            <w:pPr>
              <w:keepNext w:val="0"/>
              <w:keepLines w:val="0"/>
              <w:pageBreakBefore w:val="0"/>
              <w:widowControl/>
              <w:kinsoku w:val="0"/>
              <w:wordWrap/>
              <w:overflowPunct/>
              <w:topLinePunct w:val="0"/>
              <w:autoSpaceDE w:val="0"/>
              <w:autoSpaceDN w:val="0"/>
              <w:bidi w:val="0"/>
              <w:adjustRightInd w:val="0"/>
              <w:snapToGrid w:val="0"/>
              <w:spacing w:before="128" w:line="240" w:lineRule="exact"/>
              <w:ind w:left="137" w:right="103"/>
              <w:jc w:val="center"/>
              <w:textAlignment w:val="baseline"/>
              <w:rPr>
                <w:rFonts w:ascii="宋体" w:hAnsi="宋体" w:eastAsia="宋体" w:cs="宋体"/>
                <w:color w:val="auto"/>
                <w:sz w:val="23"/>
                <w:szCs w:val="23"/>
                <w:highlight w:val="none"/>
              </w:rPr>
            </w:pPr>
            <w:r>
              <w:rPr>
                <w:rFonts w:ascii="宋体" w:hAnsi="宋体" w:eastAsia="宋体" w:cs="宋体"/>
                <w:color w:val="auto"/>
                <w:spacing w:val="9"/>
                <w:sz w:val="23"/>
                <w:szCs w:val="23"/>
                <w:highlight w:val="none"/>
              </w:rPr>
              <w:t>运用循证依据，解决本专业复杂疑难技术问题的案例报告数量</w:t>
            </w:r>
          </w:p>
        </w:tc>
        <w:tc>
          <w:tcPr>
            <w:tcW w:w="1022" w:type="dxa"/>
            <w:vAlign w:val="center"/>
          </w:tcPr>
          <w:p>
            <w:pPr>
              <w:keepNext w:val="0"/>
              <w:keepLines w:val="0"/>
              <w:pageBreakBefore w:val="0"/>
              <w:widowControl/>
              <w:kinsoku w:val="0"/>
              <w:wordWrap/>
              <w:overflowPunct/>
              <w:topLinePunct w:val="0"/>
              <w:autoSpaceDE w:val="0"/>
              <w:autoSpaceDN w:val="0"/>
              <w:bidi w:val="0"/>
              <w:adjustRightInd w:val="0"/>
              <w:snapToGrid w:val="0"/>
              <w:spacing w:before="128" w:line="240" w:lineRule="exact"/>
              <w:ind w:left="137" w:right="103"/>
              <w:jc w:val="center"/>
              <w:textAlignment w:val="baseline"/>
              <w:rPr>
                <w:rFonts w:ascii="宋体" w:hAnsi="宋体" w:eastAsia="宋体" w:cs="宋体"/>
                <w:color w:val="auto"/>
                <w:spacing w:val="9"/>
                <w:sz w:val="23"/>
                <w:szCs w:val="23"/>
                <w:highlight w:val="none"/>
              </w:rPr>
            </w:pPr>
          </w:p>
        </w:tc>
        <w:tc>
          <w:tcPr>
            <w:tcW w:w="1412" w:type="dxa"/>
            <w:vAlign w:val="center"/>
          </w:tcPr>
          <w:p>
            <w:pPr>
              <w:keepNext w:val="0"/>
              <w:keepLines w:val="0"/>
              <w:pageBreakBefore w:val="0"/>
              <w:widowControl/>
              <w:kinsoku w:val="0"/>
              <w:wordWrap/>
              <w:overflowPunct/>
              <w:topLinePunct w:val="0"/>
              <w:autoSpaceDE w:val="0"/>
              <w:autoSpaceDN w:val="0"/>
              <w:bidi w:val="0"/>
              <w:adjustRightInd w:val="0"/>
              <w:snapToGrid w:val="0"/>
              <w:spacing w:before="128" w:line="240" w:lineRule="exact"/>
              <w:ind w:left="137" w:right="103"/>
              <w:jc w:val="center"/>
              <w:textAlignment w:val="baseline"/>
              <w:rPr>
                <w:rFonts w:ascii="宋体" w:hAnsi="宋体" w:eastAsia="宋体" w:cs="宋体"/>
                <w:color w:val="auto"/>
                <w:spacing w:val="9"/>
                <w:sz w:val="23"/>
                <w:szCs w:val="23"/>
                <w:highlight w:val="none"/>
              </w:rPr>
            </w:pPr>
          </w:p>
        </w:tc>
      </w:tr>
    </w:tbl>
    <w:p>
      <w:pPr>
        <w:jc w:val="center"/>
        <w:rPr>
          <w:color w:val="auto"/>
          <w:highlight w:val="none"/>
        </w:rPr>
      </w:pPr>
    </w:p>
    <w:p>
      <w:pPr>
        <w:jc w:val="center"/>
        <w:rPr>
          <w:color w:val="auto"/>
          <w:highlight w:val="none"/>
        </w:rPr>
      </w:pPr>
    </w:p>
    <w:p>
      <w:pPr>
        <w:jc w:val="center"/>
        <w:rPr>
          <w:color w:val="auto"/>
          <w:highlight w:val="none"/>
        </w:rPr>
      </w:pPr>
    </w:p>
    <w:tbl>
      <w:tblPr>
        <w:tblStyle w:val="5"/>
        <w:tblW w:w="15224"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87"/>
        <w:gridCol w:w="1211"/>
        <w:gridCol w:w="1800"/>
        <w:gridCol w:w="4833"/>
        <w:gridCol w:w="3771"/>
        <w:gridCol w:w="1033"/>
        <w:gridCol w:w="138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87" w:type="dxa"/>
            <w:vAlign w:val="center"/>
          </w:tcPr>
          <w:p>
            <w:pPr>
              <w:spacing w:before="169" w:line="218" w:lineRule="auto"/>
              <w:jc w:val="center"/>
              <w:rPr>
                <w:rFonts w:ascii="宋体" w:hAnsi="宋体" w:eastAsia="宋体" w:cs="宋体"/>
                <w:color w:val="auto"/>
                <w:sz w:val="23"/>
                <w:szCs w:val="23"/>
                <w:highlight w:val="none"/>
              </w:rPr>
            </w:pPr>
            <w:r>
              <w:rPr>
                <w:rFonts w:ascii="宋体" w:hAnsi="宋体" w:eastAsia="宋体" w:cs="宋体"/>
                <w:b/>
                <w:bCs/>
                <w:color w:val="auto"/>
                <w:spacing w:val="-4"/>
                <w:sz w:val="23"/>
                <w:szCs w:val="23"/>
                <w:highlight w:val="none"/>
              </w:rPr>
              <w:t>评价维度</w:t>
            </w:r>
          </w:p>
        </w:tc>
        <w:tc>
          <w:tcPr>
            <w:tcW w:w="1211" w:type="dxa"/>
            <w:vAlign w:val="center"/>
          </w:tcPr>
          <w:p>
            <w:pPr>
              <w:spacing w:before="171" w:line="220" w:lineRule="auto"/>
              <w:jc w:val="center"/>
              <w:rPr>
                <w:rFonts w:ascii="宋体" w:hAnsi="宋体" w:eastAsia="宋体" w:cs="宋体"/>
                <w:color w:val="auto"/>
                <w:sz w:val="23"/>
                <w:szCs w:val="23"/>
                <w:highlight w:val="none"/>
              </w:rPr>
            </w:pPr>
            <w:r>
              <w:rPr>
                <w:rFonts w:ascii="宋体" w:hAnsi="宋体" w:eastAsia="宋体" w:cs="宋体"/>
                <w:b/>
                <w:bCs/>
                <w:color w:val="auto"/>
                <w:spacing w:val="-5"/>
                <w:sz w:val="23"/>
                <w:szCs w:val="23"/>
                <w:highlight w:val="none"/>
              </w:rPr>
              <w:t>二级指标</w:t>
            </w:r>
          </w:p>
        </w:tc>
        <w:tc>
          <w:tcPr>
            <w:tcW w:w="1800" w:type="dxa"/>
            <w:vAlign w:val="center"/>
          </w:tcPr>
          <w:p>
            <w:pPr>
              <w:spacing w:before="171" w:line="220" w:lineRule="auto"/>
              <w:jc w:val="center"/>
              <w:rPr>
                <w:rFonts w:ascii="宋体" w:hAnsi="宋体" w:eastAsia="宋体" w:cs="宋体"/>
                <w:color w:val="auto"/>
                <w:sz w:val="23"/>
                <w:szCs w:val="23"/>
                <w:highlight w:val="none"/>
              </w:rPr>
            </w:pPr>
            <w:r>
              <w:rPr>
                <w:rFonts w:ascii="宋体" w:hAnsi="宋体" w:eastAsia="宋体" w:cs="宋体"/>
                <w:b/>
                <w:bCs/>
                <w:color w:val="auto"/>
                <w:spacing w:val="-5"/>
                <w:sz w:val="23"/>
                <w:szCs w:val="23"/>
                <w:highlight w:val="none"/>
              </w:rPr>
              <w:t>三级指标</w:t>
            </w:r>
          </w:p>
        </w:tc>
        <w:tc>
          <w:tcPr>
            <w:tcW w:w="4833" w:type="dxa"/>
            <w:vAlign w:val="center"/>
          </w:tcPr>
          <w:p>
            <w:pPr>
              <w:spacing w:before="171" w:line="220" w:lineRule="auto"/>
              <w:jc w:val="center"/>
              <w:rPr>
                <w:rFonts w:ascii="宋体" w:hAnsi="宋体" w:eastAsia="宋体" w:cs="宋体"/>
                <w:color w:val="auto"/>
                <w:sz w:val="23"/>
                <w:szCs w:val="23"/>
                <w:highlight w:val="none"/>
              </w:rPr>
            </w:pPr>
            <w:r>
              <w:rPr>
                <w:rFonts w:ascii="宋体" w:hAnsi="宋体" w:eastAsia="宋体" w:cs="宋体"/>
                <w:b/>
                <w:bCs/>
                <w:color w:val="auto"/>
                <w:spacing w:val="8"/>
                <w:sz w:val="23"/>
                <w:szCs w:val="23"/>
                <w:highlight w:val="none"/>
              </w:rPr>
              <w:t>指标定义</w:t>
            </w:r>
          </w:p>
        </w:tc>
        <w:tc>
          <w:tcPr>
            <w:tcW w:w="3771" w:type="dxa"/>
            <w:vAlign w:val="center"/>
          </w:tcPr>
          <w:p>
            <w:pPr>
              <w:spacing w:before="171" w:line="219" w:lineRule="auto"/>
              <w:jc w:val="center"/>
              <w:rPr>
                <w:rFonts w:ascii="宋体" w:hAnsi="宋体" w:eastAsia="宋体" w:cs="宋体"/>
                <w:color w:val="auto"/>
                <w:sz w:val="23"/>
                <w:szCs w:val="23"/>
                <w:highlight w:val="none"/>
              </w:rPr>
            </w:pPr>
            <w:r>
              <w:rPr>
                <w:rFonts w:ascii="宋体" w:hAnsi="宋体" w:eastAsia="宋体" w:cs="宋体"/>
                <w:b/>
                <w:bCs/>
                <w:color w:val="auto"/>
                <w:spacing w:val="7"/>
                <w:sz w:val="23"/>
                <w:szCs w:val="23"/>
                <w:highlight w:val="none"/>
              </w:rPr>
              <w:t>计算方法</w:t>
            </w:r>
          </w:p>
        </w:tc>
        <w:tc>
          <w:tcPr>
            <w:tcW w:w="1033" w:type="dxa"/>
            <w:vAlign w:val="center"/>
          </w:tcPr>
          <w:p>
            <w:pPr>
              <w:spacing w:before="101" w:line="219" w:lineRule="auto"/>
              <w:jc w:val="center"/>
              <w:rPr>
                <w:rFonts w:hint="eastAsia" w:ascii="宋体" w:hAnsi="宋体" w:eastAsia="宋体" w:cs="宋体"/>
                <w:b/>
                <w:bCs/>
                <w:snapToGrid w:val="0"/>
                <w:color w:val="auto"/>
                <w:spacing w:val="2"/>
                <w:kern w:val="0"/>
                <w:sz w:val="24"/>
                <w:szCs w:val="24"/>
                <w:highlight w:val="none"/>
                <w:lang w:eastAsia="zh-CN"/>
              </w:rPr>
            </w:pPr>
            <w:r>
              <w:rPr>
                <w:rFonts w:hint="eastAsia" w:ascii="宋体" w:hAnsi="宋体" w:eastAsia="宋体" w:cs="宋体"/>
                <w:b/>
                <w:bCs/>
                <w:color w:val="auto"/>
                <w:spacing w:val="2"/>
                <w:sz w:val="24"/>
                <w:szCs w:val="24"/>
                <w:highlight w:val="none"/>
                <w:lang w:eastAsia="zh-CN"/>
              </w:rPr>
              <w:t>指标完成情况</w:t>
            </w:r>
          </w:p>
        </w:tc>
        <w:tc>
          <w:tcPr>
            <w:tcW w:w="1389" w:type="dxa"/>
            <w:vAlign w:val="center"/>
          </w:tcPr>
          <w:p>
            <w:pPr>
              <w:spacing w:before="101" w:line="219" w:lineRule="auto"/>
              <w:jc w:val="center"/>
              <w:rPr>
                <w:rFonts w:ascii="宋体" w:hAnsi="宋体" w:eastAsia="宋体" w:cs="宋体"/>
                <w:b/>
                <w:bCs/>
                <w:snapToGrid w:val="0"/>
                <w:color w:val="auto"/>
                <w:spacing w:val="2"/>
                <w:kern w:val="0"/>
                <w:sz w:val="24"/>
                <w:szCs w:val="24"/>
                <w:highlight w:val="none"/>
              </w:rPr>
            </w:pPr>
            <w:r>
              <w:rPr>
                <w:rFonts w:hint="eastAsia" w:ascii="宋体" w:hAnsi="宋体" w:eastAsia="宋体" w:cs="宋体"/>
                <w:b/>
                <w:bCs/>
                <w:color w:val="auto"/>
                <w:spacing w:val="7"/>
                <w:sz w:val="24"/>
                <w:szCs w:val="24"/>
                <w:highlight w:val="none"/>
                <w:lang w:eastAsia="zh-CN"/>
              </w:rPr>
              <w:t>责任科室负责人签字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98" w:hRule="atLeast"/>
        </w:trPr>
        <w:tc>
          <w:tcPr>
            <w:tcW w:w="1187" w:type="dxa"/>
            <w:vMerge w:val="restart"/>
            <w:tcBorders>
              <w:bottom w:val="nil"/>
            </w:tcBorders>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质量安全</w:t>
            </w:r>
          </w:p>
        </w:tc>
        <w:tc>
          <w:tcPr>
            <w:tcW w:w="1211"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药品质量</w:t>
            </w:r>
          </w:p>
        </w:tc>
        <w:tc>
          <w:tcPr>
            <w:tcW w:w="1800"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保障药品质量的能力</w:t>
            </w:r>
          </w:p>
        </w:tc>
        <w:tc>
          <w:tcPr>
            <w:tcW w:w="4833"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保障药品质量能力水平，指标涉及：辖内药品质量合格率，账物相符率、特殊药品、高警示药品管理完善，问题药品及时处理符合相关规定</w:t>
            </w:r>
          </w:p>
        </w:tc>
        <w:tc>
          <w:tcPr>
            <w:tcW w:w="3771"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保障药品质量能力指标中的持续改进案例报告数量</w:t>
            </w:r>
          </w:p>
        </w:tc>
        <w:tc>
          <w:tcPr>
            <w:tcW w:w="1033" w:type="dxa"/>
            <w:vAlign w:val="center"/>
          </w:tcPr>
          <w:p>
            <w:pPr>
              <w:spacing w:before="60" w:line="235" w:lineRule="auto"/>
              <w:ind w:left="36"/>
              <w:jc w:val="center"/>
              <w:rPr>
                <w:rFonts w:ascii="宋体" w:hAnsi="宋体" w:eastAsia="宋体" w:cs="宋体"/>
                <w:color w:val="auto"/>
                <w:sz w:val="23"/>
                <w:szCs w:val="23"/>
                <w:highlight w:val="none"/>
              </w:rPr>
            </w:pPr>
          </w:p>
        </w:tc>
        <w:tc>
          <w:tcPr>
            <w:tcW w:w="1389"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17" w:hRule="atLeast"/>
        </w:trPr>
        <w:tc>
          <w:tcPr>
            <w:tcW w:w="1187" w:type="dxa"/>
            <w:vMerge w:val="continue"/>
            <w:tcBorders>
              <w:top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211"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患者安全</w:t>
            </w:r>
          </w:p>
        </w:tc>
        <w:tc>
          <w:tcPr>
            <w:tcW w:w="1800" w:type="dxa"/>
            <w:vAlign w:val="center"/>
          </w:tcPr>
          <w:p>
            <w:pPr>
              <w:spacing w:before="60" w:line="235" w:lineRule="auto"/>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维护患者安全用药能力</w:t>
            </w:r>
          </w:p>
        </w:tc>
        <w:tc>
          <w:tcPr>
            <w:tcW w:w="4833"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维护患者用药安全情况，指标涉及药品调剂、处方审核、静脉用药调配质量、制剂生产、药品不良反应报告及处置、用药错误/药品损害事件报告及处理等符合相关规定</w:t>
            </w:r>
          </w:p>
        </w:tc>
        <w:tc>
          <w:tcPr>
            <w:tcW w:w="3771" w:type="dxa"/>
            <w:vAlign w:val="center"/>
          </w:tcPr>
          <w:p>
            <w:pPr>
              <w:spacing w:before="60" w:line="235" w:lineRule="auto"/>
              <w:ind w:left="36"/>
              <w:jc w:val="center"/>
              <w:rPr>
                <w:rFonts w:ascii="宋体" w:hAnsi="宋体" w:eastAsia="宋体" w:cs="宋体"/>
                <w:color w:val="auto"/>
                <w:sz w:val="23"/>
                <w:szCs w:val="23"/>
                <w:highlight w:val="none"/>
              </w:rPr>
            </w:pPr>
          </w:p>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药物不良反应、用药错误/药品损害事件等处置案例数</w:t>
            </w:r>
          </w:p>
        </w:tc>
        <w:tc>
          <w:tcPr>
            <w:tcW w:w="1033" w:type="dxa"/>
            <w:vAlign w:val="center"/>
          </w:tcPr>
          <w:p>
            <w:pPr>
              <w:spacing w:before="60" w:line="235" w:lineRule="auto"/>
              <w:ind w:left="36"/>
              <w:jc w:val="center"/>
              <w:rPr>
                <w:rFonts w:ascii="宋体" w:hAnsi="宋体" w:eastAsia="宋体" w:cs="宋体"/>
                <w:color w:val="auto"/>
                <w:sz w:val="23"/>
                <w:szCs w:val="23"/>
                <w:highlight w:val="none"/>
              </w:rPr>
            </w:pPr>
          </w:p>
        </w:tc>
        <w:tc>
          <w:tcPr>
            <w:tcW w:w="1389"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1187" w:type="dxa"/>
            <w:vMerge w:val="restart"/>
            <w:tcBorders>
              <w:bottom w:val="nil"/>
            </w:tcBorders>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教学科普</w:t>
            </w:r>
          </w:p>
        </w:tc>
        <w:tc>
          <w:tcPr>
            <w:tcW w:w="1211" w:type="dxa"/>
            <w:vMerge w:val="restart"/>
            <w:tcBorders>
              <w:bottom w:val="nil"/>
            </w:tcBorders>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教学讲座</w:t>
            </w:r>
          </w:p>
        </w:tc>
        <w:tc>
          <w:tcPr>
            <w:tcW w:w="1800"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指导、带教和授课、教学</w:t>
            </w:r>
          </w:p>
        </w:tc>
        <w:tc>
          <w:tcPr>
            <w:tcW w:w="4833"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晋升周期内指导、带教人数，专业授课、教学次数</w:t>
            </w:r>
          </w:p>
        </w:tc>
        <w:tc>
          <w:tcPr>
            <w:tcW w:w="3771"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指导和带教人次，授课教学次数</w:t>
            </w:r>
          </w:p>
        </w:tc>
        <w:tc>
          <w:tcPr>
            <w:tcW w:w="1033" w:type="dxa"/>
            <w:vAlign w:val="center"/>
          </w:tcPr>
          <w:p>
            <w:pPr>
              <w:spacing w:before="60" w:line="235" w:lineRule="auto"/>
              <w:ind w:left="36"/>
              <w:jc w:val="center"/>
              <w:rPr>
                <w:rFonts w:ascii="宋体" w:hAnsi="宋体" w:eastAsia="宋体" w:cs="宋体"/>
                <w:color w:val="auto"/>
                <w:sz w:val="23"/>
                <w:szCs w:val="23"/>
                <w:highlight w:val="none"/>
              </w:rPr>
            </w:pPr>
          </w:p>
        </w:tc>
        <w:tc>
          <w:tcPr>
            <w:tcW w:w="1389"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8" w:hRule="atLeast"/>
        </w:trPr>
        <w:tc>
          <w:tcPr>
            <w:tcW w:w="1187" w:type="dxa"/>
            <w:vMerge w:val="continue"/>
            <w:tcBorders>
              <w:top w:val="nil"/>
              <w:bottom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211" w:type="dxa"/>
            <w:vMerge w:val="continue"/>
            <w:tcBorders>
              <w:top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800"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专题讲座或科普</w:t>
            </w:r>
          </w:p>
        </w:tc>
        <w:tc>
          <w:tcPr>
            <w:tcW w:w="4833"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面向社会、学生和医务工作者等讲授本专业领域的专题讲座/科普</w:t>
            </w:r>
          </w:p>
        </w:tc>
        <w:tc>
          <w:tcPr>
            <w:tcW w:w="3771"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以议程为准(次)</w:t>
            </w:r>
          </w:p>
        </w:tc>
        <w:tc>
          <w:tcPr>
            <w:tcW w:w="1033" w:type="dxa"/>
            <w:vAlign w:val="center"/>
          </w:tcPr>
          <w:p>
            <w:pPr>
              <w:spacing w:before="60" w:line="235" w:lineRule="auto"/>
              <w:ind w:left="36"/>
              <w:jc w:val="center"/>
              <w:rPr>
                <w:rFonts w:ascii="宋体" w:hAnsi="宋体" w:eastAsia="宋体" w:cs="宋体"/>
                <w:color w:val="auto"/>
                <w:sz w:val="23"/>
                <w:szCs w:val="23"/>
                <w:highlight w:val="none"/>
              </w:rPr>
            </w:pPr>
          </w:p>
        </w:tc>
        <w:tc>
          <w:tcPr>
            <w:tcW w:w="1389"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 w:hRule="atLeast"/>
        </w:trPr>
        <w:tc>
          <w:tcPr>
            <w:tcW w:w="1187" w:type="dxa"/>
            <w:vMerge w:val="continue"/>
            <w:tcBorders>
              <w:top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211"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健康宣教</w:t>
            </w:r>
          </w:p>
        </w:tc>
        <w:tc>
          <w:tcPr>
            <w:tcW w:w="1800"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开展健康教育与健康促进活动能力</w:t>
            </w:r>
          </w:p>
        </w:tc>
        <w:tc>
          <w:tcPr>
            <w:tcW w:w="4833"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参与和指导完成各级健康教育与健康促进活动的数量</w:t>
            </w:r>
          </w:p>
        </w:tc>
        <w:tc>
          <w:tcPr>
            <w:tcW w:w="3771"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完成健康教育与健康促进活动数量</w:t>
            </w:r>
          </w:p>
        </w:tc>
        <w:tc>
          <w:tcPr>
            <w:tcW w:w="1033" w:type="dxa"/>
            <w:vAlign w:val="center"/>
          </w:tcPr>
          <w:p>
            <w:pPr>
              <w:spacing w:before="60" w:line="235" w:lineRule="auto"/>
              <w:ind w:left="36"/>
              <w:jc w:val="center"/>
              <w:rPr>
                <w:rFonts w:ascii="宋体" w:hAnsi="宋体" w:eastAsia="宋体" w:cs="宋体"/>
                <w:color w:val="auto"/>
                <w:sz w:val="23"/>
                <w:szCs w:val="23"/>
                <w:highlight w:val="none"/>
              </w:rPr>
            </w:pPr>
          </w:p>
        </w:tc>
        <w:tc>
          <w:tcPr>
            <w:tcW w:w="1389" w:type="dxa"/>
            <w:vAlign w:val="center"/>
          </w:tcPr>
          <w:p>
            <w:pPr>
              <w:spacing w:before="60" w:line="235" w:lineRule="auto"/>
              <w:ind w:left="36"/>
              <w:jc w:val="center"/>
              <w:rPr>
                <w:rFonts w:ascii="宋体" w:hAnsi="宋体" w:eastAsia="宋体" w:cs="宋体"/>
                <w:color w:val="auto"/>
                <w:sz w:val="23"/>
                <w:szCs w:val="23"/>
                <w:highlight w:val="none"/>
              </w:rPr>
            </w:pPr>
          </w:p>
        </w:tc>
      </w:tr>
    </w:tbl>
    <w:p>
      <w:pPr>
        <w:jc w:val="center"/>
        <w:rPr>
          <w:color w:val="auto"/>
          <w:highlight w:val="none"/>
        </w:rPr>
      </w:pPr>
    </w:p>
    <w:p>
      <w:pPr>
        <w:jc w:val="center"/>
        <w:rPr>
          <w:color w:val="auto"/>
          <w:highlight w:val="none"/>
        </w:rPr>
      </w:pPr>
    </w:p>
    <w:p>
      <w:pPr>
        <w:jc w:val="center"/>
        <w:rPr>
          <w:color w:val="auto"/>
          <w:highlight w:val="none"/>
        </w:rPr>
      </w:pPr>
    </w:p>
    <w:p>
      <w:pPr>
        <w:jc w:val="center"/>
        <w:rPr>
          <w:color w:val="auto"/>
          <w:highlight w:val="none"/>
        </w:rPr>
      </w:pPr>
    </w:p>
    <w:p>
      <w:pPr>
        <w:jc w:val="center"/>
        <w:rPr>
          <w:color w:val="auto"/>
          <w:highlight w:val="none"/>
        </w:rPr>
      </w:pPr>
    </w:p>
    <w:p>
      <w:pPr>
        <w:jc w:val="center"/>
        <w:rPr>
          <w:color w:val="auto"/>
          <w:highlight w:val="none"/>
        </w:rPr>
      </w:pPr>
    </w:p>
    <w:p>
      <w:pPr>
        <w:jc w:val="center"/>
        <w:rPr>
          <w:color w:val="auto"/>
          <w:highlight w:val="none"/>
        </w:rPr>
      </w:pPr>
    </w:p>
    <w:p>
      <w:pPr>
        <w:jc w:val="center"/>
        <w:rPr>
          <w:color w:val="auto"/>
          <w:highlight w:val="none"/>
        </w:rPr>
      </w:pPr>
    </w:p>
    <w:p>
      <w:pPr>
        <w:jc w:val="center"/>
        <w:rPr>
          <w:color w:val="auto"/>
          <w:highlight w:val="none"/>
        </w:rPr>
      </w:pPr>
    </w:p>
    <w:p>
      <w:pPr>
        <w:spacing w:before="166" w:line="218" w:lineRule="auto"/>
        <w:jc w:val="center"/>
        <w:rPr>
          <w:rFonts w:hint="eastAsia" w:ascii="方正小标宋简体" w:hAnsi="方正小标宋简体" w:eastAsia="方正小标宋简体" w:cs="方正小标宋简体"/>
          <w:b w:val="0"/>
          <w:bCs w:val="0"/>
          <w:color w:val="auto"/>
          <w:spacing w:val="-5"/>
          <w:sz w:val="38"/>
          <w:szCs w:val="38"/>
          <w:highlight w:val="none"/>
          <w:lang w:eastAsia="zh-CN"/>
        </w:rPr>
      </w:pPr>
      <w:r>
        <w:rPr>
          <w:rFonts w:hint="eastAsia" w:ascii="方正小标宋简体" w:hAnsi="方正小标宋简体" w:eastAsia="方正小标宋简体" w:cs="方正小标宋简体"/>
          <w:b w:val="0"/>
          <w:bCs w:val="0"/>
          <w:color w:val="auto"/>
          <w:spacing w:val="-5"/>
          <w:sz w:val="38"/>
          <w:szCs w:val="38"/>
          <w:highlight w:val="none"/>
        </w:rPr>
        <w:t>护理专业</w:t>
      </w:r>
      <w:r>
        <w:rPr>
          <w:rFonts w:hint="eastAsia" w:ascii="方正小标宋简体" w:hAnsi="方正小标宋简体" w:eastAsia="方正小标宋简体" w:cs="方正小标宋简体"/>
          <w:b w:val="0"/>
          <w:bCs w:val="0"/>
          <w:color w:val="auto"/>
          <w:spacing w:val="-5"/>
          <w:sz w:val="38"/>
          <w:szCs w:val="38"/>
          <w:highlight w:val="none"/>
          <w:lang w:eastAsia="zh-CN"/>
        </w:rPr>
        <w:t>高级职称评价指标核定表</w:t>
      </w:r>
    </w:p>
    <w:p>
      <w:pPr>
        <w:spacing w:before="154" w:line="218" w:lineRule="auto"/>
        <w:jc w:val="left"/>
        <w:rPr>
          <w:color w:val="auto"/>
          <w:highlight w:val="none"/>
        </w:rPr>
      </w:pPr>
      <w:r>
        <w:rPr>
          <w:rFonts w:hint="eastAsia" w:ascii="宋体" w:hAnsi="宋体" w:eastAsia="宋体" w:cs="宋体"/>
          <w:b/>
          <w:bCs/>
          <w:color w:val="auto"/>
          <w:spacing w:val="-4"/>
          <w:sz w:val="24"/>
          <w:szCs w:val="24"/>
          <w:highlight w:val="none"/>
          <w:lang w:eastAsia="zh-CN"/>
        </w:rPr>
        <w:t>申报单位：（盖章）</w:t>
      </w:r>
      <w:r>
        <w:rPr>
          <w:rFonts w:hint="eastAsia" w:ascii="宋体" w:hAnsi="宋体" w:eastAsia="宋体" w:cs="宋体"/>
          <w:b/>
          <w:bCs/>
          <w:color w:val="auto"/>
          <w:spacing w:val="-4"/>
          <w:sz w:val="24"/>
          <w:szCs w:val="24"/>
          <w:highlight w:val="none"/>
          <w:lang w:val="en-US" w:eastAsia="zh-CN"/>
        </w:rPr>
        <w:t xml:space="preserve">                                  申报人姓名：                             申报专业技术职务：</w:t>
      </w:r>
    </w:p>
    <w:p>
      <w:pPr>
        <w:spacing w:line="25" w:lineRule="exact"/>
        <w:jc w:val="center"/>
        <w:rPr>
          <w:color w:val="auto"/>
          <w:highlight w:val="none"/>
        </w:rPr>
      </w:pPr>
    </w:p>
    <w:tbl>
      <w:tblPr>
        <w:tblStyle w:val="5"/>
        <w:tblW w:w="15246"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99"/>
        <w:gridCol w:w="1289"/>
        <w:gridCol w:w="2111"/>
        <w:gridCol w:w="4178"/>
        <w:gridCol w:w="3981"/>
        <w:gridCol w:w="1077"/>
        <w:gridCol w:w="141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4" w:hRule="atLeast"/>
        </w:trPr>
        <w:tc>
          <w:tcPr>
            <w:tcW w:w="1199" w:type="dxa"/>
            <w:vAlign w:val="center"/>
          </w:tcPr>
          <w:p>
            <w:pPr>
              <w:spacing w:before="169" w:line="218" w:lineRule="auto"/>
              <w:jc w:val="center"/>
              <w:rPr>
                <w:rFonts w:ascii="宋体" w:hAnsi="宋体" w:eastAsia="宋体" w:cs="宋体"/>
                <w:color w:val="auto"/>
                <w:sz w:val="24"/>
                <w:szCs w:val="24"/>
                <w:highlight w:val="none"/>
              </w:rPr>
            </w:pPr>
            <w:r>
              <w:rPr>
                <w:rFonts w:ascii="宋体" w:hAnsi="宋体" w:eastAsia="宋体" w:cs="宋体"/>
                <w:b/>
                <w:bCs/>
                <w:color w:val="auto"/>
                <w:spacing w:val="-5"/>
                <w:sz w:val="24"/>
                <w:szCs w:val="24"/>
                <w:highlight w:val="none"/>
              </w:rPr>
              <w:t>评价维度</w:t>
            </w:r>
          </w:p>
        </w:tc>
        <w:tc>
          <w:tcPr>
            <w:tcW w:w="1289" w:type="dxa"/>
            <w:vAlign w:val="center"/>
          </w:tcPr>
          <w:p>
            <w:pPr>
              <w:spacing w:before="172" w:line="220" w:lineRule="auto"/>
              <w:jc w:val="center"/>
              <w:rPr>
                <w:rFonts w:ascii="宋体" w:hAnsi="宋体" w:eastAsia="宋体" w:cs="宋体"/>
                <w:color w:val="auto"/>
                <w:sz w:val="24"/>
                <w:szCs w:val="24"/>
                <w:highlight w:val="none"/>
              </w:rPr>
            </w:pPr>
            <w:r>
              <w:rPr>
                <w:rFonts w:ascii="宋体" w:hAnsi="宋体" w:eastAsia="宋体" w:cs="宋体"/>
                <w:b/>
                <w:bCs/>
                <w:color w:val="auto"/>
                <w:spacing w:val="-5"/>
                <w:sz w:val="24"/>
                <w:szCs w:val="24"/>
                <w:highlight w:val="none"/>
              </w:rPr>
              <w:t>二级指标</w:t>
            </w:r>
          </w:p>
        </w:tc>
        <w:tc>
          <w:tcPr>
            <w:tcW w:w="2111" w:type="dxa"/>
            <w:vAlign w:val="center"/>
          </w:tcPr>
          <w:p>
            <w:pPr>
              <w:spacing w:before="172" w:line="220" w:lineRule="auto"/>
              <w:jc w:val="center"/>
              <w:rPr>
                <w:rFonts w:ascii="宋体" w:hAnsi="宋体" w:eastAsia="宋体" w:cs="宋体"/>
                <w:color w:val="auto"/>
                <w:sz w:val="24"/>
                <w:szCs w:val="24"/>
                <w:highlight w:val="none"/>
              </w:rPr>
            </w:pPr>
            <w:r>
              <w:rPr>
                <w:rFonts w:ascii="宋体" w:hAnsi="宋体" w:eastAsia="宋体" w:cs="宋体"/>
                <w:b/>
                <w:bCs/>
                <w:color w:val="auto"/>
                <w:spacing w:val="-5"/>
                <w:sz w:val="24"/>
                <w:szCs w:val="24"/>
                <w:highlight w:val="none"/>
              </w:rPr>
              <w:t>三级指标</w:t>
            </w:r>
          </w:p>
        </w:tc>
        <w:tc>
          <w:tcPr>
            <w:tcW w:w="4178" w:type="dxa"/>
            <w:vAlign w:val="center"/>
          </w:tcPr>
          <w:p>
            <w:pPr>
              <w:spacing w:before="172" w:line="220" w:lineRule="auto"/>
              <w:jc w:val="center"/>
              <w:rPr>
                <w:rFonts w:ascii="宋体" w:hAnsi="宋体" w:eastAsia="宋体" w:cs="宋体"/>
                <w:color w:val="auto"/>
                <w:sz w:val="24"/>
                <w:szCs w:val="24"/>
                <w:highlight w:val="none"/>
              </w:rPr>
            </w:pPr>
            <w:r>
              <w:rPr>
                <w:rFonts w:ascii="宋体" w:hAnsi="宋体" w:eastAsia="宋体" w:cs="宋体"/>
                <w:b/>
                <w:bCs/>
                <w:color w:val="auto"/>
                <w:spacing w:val="-5"/>
                <w:sz w:val="24"/>
                <w:szCs w:val="24"/>
                <w:highlight w:val="none"/>
              </w:rPr>
              <w:t>指标定义</w:t>
            </w:r>
          </w:p>
        </w:tc>
        <w:tc>
          <w:tcPr>
            <w:tcW w:w="3981" w:type="dxa"/>
            <w:vAlign w:val="center"/>
          </w:tcPr>
          <w:p>
            <w:pPr>
              <w:spacing w:before="171" w:line="219" w:lineRule="auto"/>
              <w:jc w:val="center"/>
              <w:rPr>
                <w:rFonts w:ascii="宋体" w:hAnsi="宋体" w:eastAsia="宋体" w:cs="宋体"/>
                <w:color w:val="auto"/>
                <w:sz w:val="24"/>
                <w:szCs w:val="24"/>
                <w:highlight w:val="none"/>
              </w:rPr>
            </w:pPr>
            <w:r>
              <w:rPr>
                <w:rFonts w:ascii="宋体" w:hAnsi="宋体" w:eastAsia="宋体" w:cs="宋体"/>
                <w:b/>
                <w:bCs/>
                <w:color w:val="auto"/>
                <w:spacing w:val="-5"/>
                <w:sz w:val="24"/>
                <w:szCs w:val="24"/>
                <w:highlight w:val="none"/>
              </w:rPr>
              <w:t>计算方法</w:t>
            </w:r>
          </w:p>
        </w:tc>
        <w:tc>
          <w:tcPr>
            <w:tcW w:w="1077" w:type="dxa"/>
            <w:vAlign w:val="center"/>
          </w:tcPr>
          <w:p>
            <w:pPr>
              <w:spacing w:before="101" w:line="219" w:lineRule="auto"/>
              <w:jc w:val="center"/>
              <w:rPr>
                <w:rFonts w:hint="eastAsia" w:ascii="宋体" w:hAnsi="宋体" w:eastAsia="宋体" w:cs="宋体"/>
                <w:b/>
                <w:bCs/>
                <w:snapToGrid w:val="0"/>
                <w:color w:val="auto"/>
                <w:spacing w:val="2"/>
                <w:kern w:val="0"/>
                <w:sz w:val="24"/>
                <w:szCs w:val="24"/>
                <w:highlight w:val="none"/>
                <w:lang w:eastAsia="zh-CN"/>
              </w:rPr>
            </w:pPr>
            <w:r>
              <w:rPr>
                <w:rFonts w:hint="eastAsia" w:ascii="宋体" w:hAnsi="宋体" w:eastAsia="宋体" w:cs="宋体"/>
                <w:b/>
                <w:bCs/>
                <w:color w:val="auto"/>
                <w:spacing w:val="2"/>
                <w:sz w:val="24"/>
                <w:szCs w:val="24"/>
                <w:highlight w:val="none"/>
                <w:lang w:eastAsia="zh-CN"/>
              </w:rPr>
              <w:t>指标完成情况</w:t>
            </w:r>
          </w:p>
        </w:tc>
        <w:tc>
          <w:tcPr>
            <w:tcW w:w="1411" w:type="dxa"/>
            <w:vAlign w:val="center"/>
          </w:tcPr>
          <w:p>
            <w:pPr>
              <w:spacing w:before="101" w:line="219" w:lineRule="auto"/>
              <w:jc w:val="center"/>
              <w:rPr>
                <w:rFonts w:ascii="宋体" w:hAnsi="宋体" w:eastAsia="宋体" w:cs="宋体"/>
                <w:b/>
                <w:bCs/>
                <w:snapToGrid w:val="0"/>
                <w:color w:val="auto"/>
                <w:spacing w:val="2"/>
                <w:kern w:val="0"/>
                <w:sz w:val="24"/>
                <w:szCs w:val="24"/>
                <w:highlight w:val="none"/>
              </w:rPr>
            </w:pPr>
            <w:r>
              <w:rPr>
                <w:rFonts w:hint="eastAsia" w:ascii="宋体" w:hAnsi="宋体" w:eastAsia="宋体" w:cs="宋体"/>
                <w:b/>
                <w:bCs/>
                <w:color w:val="auto"/>
                <w:spacing w:val="7"/>
                <w:sz w:val="24"/>
                <w:szCs w:val="24"/>
                <w:highlight w:val="none"/>
                <w:lang w:eastAsia="zh-CN"/>
              </w:rPr>
              <w:t>责任科室负责人签字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trPr>
        <w:tc>
          <w:tcPr>
            <w:tcW w:w="1199" w:type="dxa"/>
            <w:vMerge w:val="restart"/>
            <w:tcBorders>
              <w:bottom w:val="nil"/>
            </w:tcBorders>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技术能力</w:t>
            </w:r>
          </w:p>
        </w:tc>
        <w:tc>
          <w:tcPr>
            <w:tcW w:w="1289" w:type="dxa"/>
            <w:vMerge w:val="restart"/>
            <w:tcBorders>
              <w:bottom w:val="nil"/>
            </w:tcBorders>
            <w:vAlign w:val="center"/>
          </w:tcPr>
          <w:p>
            <w:pPr>
              <w:spacing w:before="60" w:line="235" w:lineRule="auto"/>
              <w:ind w:left="36"/>
              <w:jc w:val="center"/>
              <w:rPr>
                <w:rFonts w:hint="eastAsia" w:ascii="宋体" w:hAnsi="宋体" w:eastAsia="宋体" w:cs="宋体"/>
                <w:color w:val="auto"/>
                <w:sz w:val="23"/>
                <w:szCs w:val="23"/>
                <w:highlight w:val="none"/>
                <w:lang w:eastAsia="zh-CN"/>
              </w:rPr>
            </w:pPr>
            <w:r>
              <w:rPr>
                <w:rFonts w:hint="eastAsia" w:ascii="宋体" w:hAnsi="宋体" w:eastAsia="宋体" w:cs="宋体"/>
                <w:color w:val="auto"/>
                <w:sz w:val="23"/>
                <w:szCs w:val="23"/>
                <w:highlight w:val="none"/>
                <w:lang w:eastAsia="zh-CN"/>
              </w:rPr>
              <w:t>护士实践能力</w:t>
            </w:r>
          </w:p>
        </w:tc>
        <w:tc>
          <w:tcPr>
            <w:tcW w:w="2111"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岗位护理案例</w:t>
            </w:r>
          </w:p>
        </w:tc>
        <w:tc>
          <w:tcPr>
            <w:tcW w:w="4178"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解决本专业疑难复杂问题的护理案例</w:t>
            </w:r>
          </w:p>
        </w:tc>
        <w:tc>
          <w:tcPr>
            <w:tcW w:w="3981"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以护理记录签名为准(例)</w:t>
            </w:r>
          </w:p>
        </w:tc>
        <w:tc>
          <w:tcPr>
            <w:tcW w:w="1077" w:type="dxa"/>
            <w:vAlign w:val="center"/>
          </w:tcPr>
          <w:p>
            <w:pPr>
              <w:spacing w:before="60" w:line="235" w:lineRule="auto"/>
              <w:ind w:left="36"/>
              <w:jc w:val="center"/>
              <w:rPr>
                <w:rFonts w:ascii="宋体" w:hAnsi="宋体" w:eastAsia="宋体" w:cs="宋体"/>
                <w:color w:val="auto"/>
                <w:sz w:val="23"/>
                <w:szCs w:val="23"/>
                <w:highlight w:val="none"/>
              </w:rPr>
            </w:pPr>
          </w:p>
        </w:tc>
        <w:tc>
          <w:tcPr>
            <w:tcW w:w="1411"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9" w:hRule="atLeast"/>
        </w:trPr>
        <w:tc>
          <w:tcPr>
            <w:tcW w:w="1199" w:type="dxa"/>
            <w:vMerge w:val="continue"/>
            <w:tcBorders>
              <w:top w:val="nil"/>
              <w:bottom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289" w:type="dxa"/>
            <w:vMerge w:val="continue"/>
            <w:tcBorders>
              <w:top w:val="nil"/>
              <w:bottom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2111"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疑难病例护理讨论</w:t>
            </w:r>
          </w:p>
        </w:tc>
        <w:tc>
          <w:tcPr>
            <w:tcW w:w="4178"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主持疑难病例护理讨论</w:t>
            </w:r>
          </w:p>
        </w:tc>
        <w:tc>
          <w:tcPr>
            <w:tcW w:w="3981"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以讨论记录签名为准(例)</w:t>
            </w:r>
          </w:p>
        </w:tc>
        <w:tc>
          <w:tcPr>
            <w:tcW w:w="1077" w:type="dxa"/>
            <w:vAlign w:val="center"/>
          </w:tcPr>
          <w:p>
            <w:pPr>
              <w:spacing w:before="60" w:line="235" w:lineRule="auto"/>
              <w:ind w:left="36"/>
              <w:jc w:val="center"/>
              <w:rPr>
                <w:rFonts w:ascii="宋体" w:hAnsi="宋体" w:eastAsia="宋体" w:cs="宋体"/>
                <w:color w:val="auto"/>
                <w:sz w:val="23"/>
                <w:szCs w:val="23"/>
                <w:highlight w:val="none"/>
              </w:rPr>
            </w:pPr>
          </w:p>
        </w:tc>
        <w:tc>
          <w:tcPr>
            <w:tcW w:w="1411"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trPr>
        <w:tc>
          <w:tcPr>
            <w:tcW w:w="1199" w:type="dxa"/>
            <w:vMerge w:val="continue"/>
            <w:tcBorders>
              <w:top w:val="nil"/>
              <w:bottom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289" w:type="dxa"/>
            <w:vMerge w:val="continue"/>
            <w:tcBorders>
              <w:top w:val="nil"/>
              <w:bottom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2111"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护理查房</w:t>
            </w:r>
          </w:p>
        </w:tc>
        <w:tc>
          <w:tcPr>
            <w:tcW w:w="4178"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组织专科护理查房</w:t>
            </w:r>
          </w:p>
        </w:tc>
        <w:tc>
          <w:tcPr>
            <w:tcW w:w="3981"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以查房记录签名为准(次)</w:t>
            </w:r>
          </w:p>
        </w:tc>
        <w:tc>
          <w:tcPr>
            <w:tcW w:w="1077" w:type="dxa"/>
            <w:vAlign w:val="center"/>
          </w:tcPr>
          <w:p>
            <w:pPr>
              <w:spacing w:before="60" w:line="235" w:lineRule="auto"/>
              <w:ind w:left="36"/>
              <w:jc w:val="center"/>
              <w:rPr>
                <w:rFonts w:ascii="宋体" w:hAnsi="宋体" w:eastAsia="宋体" w:cs="宋体"/>
                <w:color w:val="auto"/>
                <w:sz w:val="23"/>
                <w:szCs w:val="23"/>
                <w:highlight w:val="none"/>
              </w:rPr>
            </w:pPr>
          </w:p>
        </w:tc>
        <w:tc>
          <w:tcPr>
            <w:tcW w:w="1411"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9" w:hRule="atLeast"/>
        </w:trPr>
        <w:tc>
          <w:tcPr>
            <w:tcW w:w="1199" w:type="dxa"/>
            <w:vMerge w:val="continue"/>
            <w:tcBorders>
              <w:top w:val="nil"/>
              <w:bottom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289" w:type="dxa"/>
            <w:vMerge w:val="continue"/>
            <w:tcBorders>
              <w:top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2111"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护理会诊</w:t>
            </w:r>
          </w:p>
        </w:tc>
        <w:tc>
          <w:tcPr>
            <w:tcW w:w="4178"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承担护理会诊</w:t>
            </w:r>
          </w:p>
        </w:tc>
        <w:tc>
          <w:tcPr>
            <w:tcW w:w="3981"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以会诊记录签名为准(次)</w:t>
            </w:r>
          </w:p>
        </w:tc>
        <w:tc>
          <w:tcPr>
            <w:tcW w:w="1077" w:type="dxa"/>
            <w:vAlign w:val="center"/>
          </w:tcPr>
          <w:p>
            <w:pPr>
              <w:spacing w:before="60" w:line="235" w:lineRule="auto"/>
              <w:ind w:left="36"/>
              <w:jc w:val="center"/>
              <w:rPr>
                <w:rFonts w:ascii="宋体" w:hAnsi="宋体" w:eastAsia="宋体" w:cs="宋体"/>
                <w:color w:val="auto"/>
                <w:sz w:val="23"/>
                <w:szCs w:val="23"/>
                <w:highlight w:val="none"/>
              </w:rPr>
            </w:pPr>
          </w:p>
        </w:tc>
        <w:tc>
          <w:tcPr>
            <w:tcW w:w="1411"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46" w:hRule="atLeast"/>
        </w:trPr>
        <w:tc>
          <w:tcPr>
            <w:tcW w:w="1199" w:type="dxa"/>
            <w:vMerge w:val="continue"/>
            <w:tcBorders>
              <w:top w:val="nil"/>
              <w:bottom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289" w:type="dxa"/>
            <w:vAlign w:val="center"/>
          </w:tcPr>
          <w:p>
            <w:pPr>
              <w:spacing w:before="60" w:line="235" w:lineRule="auto"/>
              <w:ind w:left="36"/>
              <w:jc w:val="center"/>
              <w:rPr>
                <w:rFonts w:ascii="宋体" w:hAnsi="宋体" w:eastAsia="宋体" w:cs="宋体"/>
                <w:color w:val="auto"/>
                <w:sz w:val="23"/>
                <w:szCs w:val="23"/>
                <w:highlight w:val="none"/>
              </w:rPr>
            </w:pPr>
            <w:r>
              <w:rPr>
                <w:rFonts w:hint="eastAsia" w:ascii="宋体" w:hAnsi="宋体" w:eastAsia="宋体" w:cs="宋体"/>
                <w:color w:val="auto"/>
                <w:sz w:val="23"/>
                <w:szCs w:val="23"/>
                <w:highlight w:val="none"/>
                <w:lang w:eastAsia="zh-CN"/>
              </w:rPr>
              <w:t>技术创新能力</w:t>
            </w:r>
          </w:p>
        </w:tc>
        <w:tc>
          <w:tcPr>
            <w:tcW w:w="2111"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新业务新技术</w:t>
            </w:r>
          </w:p>
        </w:tc>
        <w:tc>
          <w:tcPr>
            <w:tcW w:w="4178"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新业务新技术推广应用的报告、操作视频或技术专利等</w:t>
            </w:r>
          </w:p>
        </w:tc>
        <w:tc>
          <w:tcPr>
            <w:tcW w:w="3981"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院级以上备案项目(项)</w:t>
            </w:r>
          </w:p>
        </w:tc>
        <w:tc>
          <w:tcPr>
            <w:tcW w:w="1077" w:type="dxa"/>
            <w:vAlign w:val="center"/>
          </w:tcPr>
          <w:p>
            <w:pPr>
              <w:spacing w:before="60" w:line="235" w:lineRule="auto"/>
              <w:ind w:left="36"/>
              <w:jc w:val="center"/>
              <w:rPr>
                <w:rFonts w:ascii="宋体" w:hAnsi="宋体" w:eastAsia="宋体" w:cs="宋体"/>
                <w:color w:val="auto"/>
                <w:sz w:val="23"/>
                <w:szCs w:val="23"/>
                <w:highlight w:val="none"/>
              </w:rPr>
            </w:pPr>
          </w:p>
        </w:tc>
        <w:tc>
          <w:tcPr>
            <w:tcW w:w="1411"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1199" w:type="dxa"/>
            <w:vMerge w:val="continue"/>
            <w:tcBorders>
              <w:top w:val="nil"/>
              <w:bottom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289" w:type="dxa"/>
            <w:vMerge w:val="restart"/>
            <w:tcBorders>
              <w:bottom w:val="nil"/>
            </w:tcBorders>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危急重症护理能力</w:t>
            </w:r>
          </w:p>
        </w:tc>
        <w:tc>
          <w:tcPr>
            <w:tcW w:w="2111"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护理病危、病重患者人数</w:t>
            </w:r>
          </w:p>
        </w:tc>
        <w:tc>
          <w:tcPr>
            <w:tcW w:w="4178"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危重患者护理能力</w:t>
            </w:r>
          </w:p>
        </w:tc>
        <w:tc>
          <w:tcPr>
            <w:tcW w:w="3981"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以护理记录单签名为准</w:t>
            </w:r>
          </w:p>
        </w:tc>
        <w:tc>
          <w:tcPr>
            <w:tcW w:w="1077" w:type="dxa"/>
            <w:vAlign w:val="center"/>
          </w:tcPr>
          <w:p>
            <w:pPr>
              <w:spacing w:before="60" w:line="235" w:lineRule="auto"/>
              <w:ind w:left="36"/>
              <w:jc w:val="center"/>
              <w:rPr>
                <w:rFonts w:ascii="宋体" w:hAnsi="宋体" w:eastAsia="宋体" w:cs="宋体"/>
                <w:color w:val="auto"/>
                <w:sz w:val="23"/>
                <w:szCs w:val="23"/>
                <w:highlight w:val="none"/>
              </w:rPr>
            </w:pPr>
          </w:p>
        </w:tc>
        <w:tc>
          <w:tcPr>
            <w:tcW w:w="1411"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61" w:hRule="atLeast"/>
        </w:trPr>
        <w:tc>
          <w:tcPr>
            <w:tcW w:w="1199" w:type="dxa"/>
            <w:vMerge w:val="continue"/>
            <w:tcBorders>
              <w:top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289" w:type="dxa"/>
            <w:vMerge w:val="continue"/>
            <w:tcBorders>
              <w:top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2111"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技术难度较高的护理操作例数</w:t>
            </w:r>
          </w:p>
        </w:tc>
        <w:tc>
          <w:tcPr>
            <w:tcW w:w="4178"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如经外周静脉穿刺中心静脉置管术</w:t>
            </w:r>
          </w:p>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PICC)、中心静脉导管(PICC、CVC、输液港)维护技术、复杂伤口/造口处理、中心静脉压监测(CVP)、有创动脉压监测(ABP)、脉搏指示连续心排血量监测(PICCO)、肺动脉楔压监测、腹内压监测、主动脉球囊反搏护理(IABP)、俯卧位通气护理等</w:t>
            </w:r>
          </w:p>
        </w:tc>
        <w:tc>
          <w:tcPr>
            <w:tcW w:w="3981"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以护理记录单签名为准</w:t>
            </w:r>
          </w:p>
        </w:tc>
        <w:tc>
          <w:tcPr>
            <w:tcW w:w="1077" w:type="dxa"/>
            <w:vAlign w:val="center"/>
          </w:tcPr>
          <w:p>
            <w:pPr>
              <w:spacing w:before="60" w:line="235" w:lineRule="auto"/>
              <w:ind w:left="36"/>
              <w:jc w:val="center"/>
              <w:rPr>
                <w:rFonts w:ascii="宋体" w:hAnsi="宋体" w:eastAsia="宋体" w:cs="宋体"/>
                <w:color w:val="auto"/>
                <w:sz w:val="23"/>
                <w:szCs w:val="23"/>
                <w:highlight w:val="none"/>
              </w:rPr>
            </w:pPr>
          </w:p>
        </w:tc>
        <w:tc>
          <w:tcPr>
            <w:tcW w:w="1411" w:type="dxa"/>
            <w:vAlign w:val="center"/>
          </w:tcPr>
          <w:p>
            <w:pPr>
              <w:spacing w:before="60" w:line="235" w:lineRule="auto"/>
              <w:ind w:left="36"/>
              <w:jc w:val="center"/>
              <w:rPr>
                <w:rFonts w:ascii="宋体" w:hAnsi="宋体" w:eastAsia="宋体" w:cs="宋体"/>
                <w:color w:val="auto"/>
                <w:sz w:val="23"/>
                <w:szCs w:val="23"/>
                <w:highlight w:val="none"/>
              </w:rPr>
            </w:pPr>
          </w:p>
        </w:tc>
      </w:tr>
    </w:tbl>
    <w:p>
      <w:pPr>
        <w:jc w:val="center"/>
        <w:rPr>
          <w:color w:val="auto"/>
          <w:highlight w:val="none"/>
        </w:rPr>
      </w:pPr>
    </w:p>
    <w:tbl>
      <w:tblPr>
        <w:tblStyle w:val="5"/>
        <w:tblW w:w="15202"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31"/>
        <w:gridCol w:w="1256"/>
        <w:gridCol w:w="2111"/>
        <w:gridCol w:w="4178"/>
        <w:gridCol w:w="3970"/>
        <w:gridCol w:w="1112"/>
        <w:gridCol w:w="134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4" w:hRule="atLeast"/>
        </w:trPr>
        <w:tc>
          <w:tcPr>
            <w:tcW w:w="1231" w:type="dxa"/>
            <w:vAlign w:val="center"/>
          </w:tcPr>
          <w:p>
            <w:pPr>
              <w:spacing w:before="159" w:line="218" w:lineRule="auto"/>
              <w:jc w:val="center"/>
              <w:rPr>
                <w:rFonts w:ascii="宋体" w:hAnsi="宋体" w:eastAsia="宋体" w:cs="宋体"/>
                <w:color w:val="auto"/>
                <w:sz w:val="24"/>
                <w:szCs w:val="24"/>
                <w:highlight w:val="none"/>
              </w:rPr>
            </w:pPr>
            <w:r>
              <w:rPr>
                <w:rFonts w:ascii="宋体" w:hAnsi="宋体" w:eastAsia="宋体" w:cs="宋体"/>
                <w:b/>
                <w:bCs/>
                <w:color w:val="auto"/>
                <w:spacing w:val="-5"/>
                <w:sz w:val="24"/>
                <w:szCs w:val="24"/>
                <w:highlight w:val="none"/>
              </w:rPr>
              <w:t>评价维度</w:t>
            </w:r>
          </w:p>
        </w:tc>
        <w:tc>
          <w:tcPr>
            <w:tcW w:w="1256" w:type="dxa"/>
            <w:vAlign w:val="center"/>
          </w:tcPr>
          <w:p>
            <w:pPr>
              <w:spacing w:before="162" w:line="220" w:lineRule="auto"/>
              <w:jc w:val="center"/>
              <w:rPr>
                <w:rFonts w:ascii="宋体" w:hAnsi="宋体" w:eastAsia="宋体" w:cs="宋体"/>
                <w:color w:val="auto"/>
                <w:sz w:val="24"/>
                <w:szCs w:val="24"/>
                <w:highlight w:val="none"/>
              </w:rPr>
            </w:pPr>
            <w:r>
              <w:rPr>
                <w:rFonts w:ascii="宋体" w:hAnsi="宋体" w:eastAsia="宋体" w:cs="宋体"/>
                <w:b/>
                <w:bCs/>
                <w:color w:val="auto"/>
                <w:spacing w:val="-5"/>
                <w:sz w:val="24"/>
                <w:szCs w:val="24"/>
                <w:highlight w:val="none"/>
              </w:rPr>
              <w:t>二级指标</w:t>
            </w:r>
          </w:p>
        </w:tc>
        <w:tc>
          <w:tcPr>
            <w:tcW w:w="2111" w:type="dxa"/>
            <w:vAlign w:val="center"/>
          </w:tcPr>
          <w:p>
            <w:pPr>
              <w:spacing w:before="162" w:line="220" w:lineRule="auto"/>
              <w:jc w:val="center"/>
              <w:rPr>
                <w:rFonts w:ascii="宋体" w:hAnsi="宋体" w:eastAsia="宋体" w:cs="宋体"/>
                <w:color w:val="auto"/>
                <w:sz w:val="24"/>
                <w:szCs w:val="24"/>
                <w:highlight w:val="none"/>
              </w:rPr>
            </w:pPr>
            <w:r>
              <w:rPr>
                <w:rFonts w:ascii="宋体" w:hAnsi="宋体" w:eastAsia="宋体" w:cs="宋体"/>
                <w:b/>
                <w:bCs/>
                <w:color w:val="auto"/>
                <w:spacing w:val="-5"/>
                <w:sz w:val="24"/>
                <w:szCs w:val="24"/>
                <w:highlight w:val="none"/>
              </w:rPr>
              <w:t>三级指标</w:t>
            </w:r>
          </w:p>
        </w:tc>
        <w:tc>
          <w:tcPr>
            <w:tcW w:w="4178" w:type="dxa"/>
            <w:vAlign w:val="center"/>
          </w:tcPr>
          <w:p>
            <w:pPr>
              <w:spacing w:before="162" w:line="220" w:lineRule="auto"/>
              <w:jc w:val="center"/>
              <w:rPr>
                <w:rFonts w:ascii="宋体" w:hAnsi="宋体" w:eastAsia="宋体" w:cs="宋体"/>
                <w:color w:val="auto"/>
                <w:sz w:val="24"/>
                <w:szCs w:val="24"/>
                <w:highlight w:val="none"/>
              </w:rPr>
            </w:pPr>
            <w:r>
              <w:rPr>
                <w:rFonts w:ascii="宋体" w:hAnsi="宋体" w:eastAsia="宋体" w:cs="宋体"/>
                <w:b/>
                <w:bCs/>
                <w:color w:val="auto"/>
                <w:spacing w:val="-5"/>
                <w:sz w:val="24"/>
                <w:szCs w:val="24"/>
                <w:highlight w:val="none"/>
              </w:rPr>
              <w:t>指标定义</w:t>
            </w:r>
          </w:p>
        </w:tc>
        <w:tc>
          <w:tcPr>
            <w:tcW w:w="3970" w:type="dxa"/>
            <w:vAlign w:val="center"/>
          </w:tcPr>
          <w:p>
            <w:pPr>
              <w:spacing w:before="161" w:line="219" w:lineRule="auto"/>
              <w:jc w:val="center"/>
              <w:rPr>
                <w:rFonts w:ascii="宋体" w:hAnsi="宋体" w:eastAsia="宋体" w:cs="宋体"/>
                <w:color w:val="auto"/>
                <w:sz w:val="24"/>
                <w:szCs w:val="24"/>
                <w:highlight w:val="none"/>
              </w:rPr>
            </w:pPr>
            <w:r>
              <w:rPr>
                <w:rFonts w:ascii="宋体" w:hAnsi="宋体" w:eastAsia="宋体" w:cs="宋体"/>
                <w:b/>
                <w:bCs/>
                <w:color w:val="auto"/>
                <w:spacing w:val="-5"/>
                <w:sz w:val="24"/>
                <w:szCs w:val="24"/>
                <w:highlight w:val="none"/>
              </w:rPr>
              <w:t>计算方法</w:t>
            </w:r>
          </w:p>
        </w:tc>
        <w:tc>
          <w:tcPr>
            <w:tcW w:w="1112" w:type="dxa"/>
            <w:vAlign w:val="center"/>
          </w:tcPr>
          <w:p>
            <w:pPr>
              <w:spacing w:before="101" w:line="219" w:lineRule="auto"/>
              <w:jc w:val="center"/>
              <w:rPr>
                <w:rFonts w:hint="eastAsia" w:ascii="宋体" w:hAnsi="宋体" w:eastAsia="宋体" w:cs="宋体"/>
                <w:b/>
                <w:bCs/>
                <w:snapToGrid w:val="0"/>
                <w:color w:val="auto"/>
                <w:spacing w:val="2"/>
                <w:kern w:val="0"/>
                <w:sz w:val="24"/>
                <w:szCs w:val="24"/>
                <w:highlight w:val="none"/>
                <w:lang w:eastAsia="zh-CN"/>
              </w:rPr>
            </w:pPr>
            <w:r>
              <w:rPr>
                <w:rFonts w:hint="eastAsia" w:ascii="宋体" w:hAnsi="宋体" w:eastAsia="宋体" w:cs="宋体"/>
                <w:b/>
                <w:bCs/>
                <w:color w:val="auto"/>
                <w:spacing w:val="2"/>
                <w:sz w:val="24"/>
                <w:szCs w:val="24"/>
                <w:highlight w:val="none"/>
                <w:lang w:eastAsia="zh-CN"/>
              </w:rPr>
              <w:t>指标完成情况</w:t>
            </w:r>
          </w:p>
        </w:tc>
        <w:tc>
          <w:tcPr>
            <w:tcW w:w="1344" w:type="dxa"/>
            <w:vAlign w:val="center"/>
          </w:tcPr>
          <w:p>
            <w:pPr>
              <w:spacing w:before="101" w:line="219" w:lineRule="auto"/>
              <w:jc w:val="center"/>
              <w:rPr>
                <w:rFonts w:ascii="宋体" w:hAnsi="宋体" w:eastAsia="宋体" w:cs="宋体"/>
                <w:b/>
                <w:bCs/>
                <w:snapToGrid w:val="0"/>
                <w:color w:val="auto"/>
                <w:spacing w:val="2"/>
                <w:kern w:val="0"/>
                <w:sz w:val="24"/>
                <w:szCs w:val="24"/>
                <w:highlight w:val="none"/>
              </w:rPr>
            </w:pPr>
            <w:r>
              <w:rPr>
                <w:rFonts w:hint="eastAsia" w:ascii="宋体" w:hAnsi="宋体" w:eastAsia="宋体" w:cs="宋体"/>
                <w:b/>
                <w:bCs/>
                <w:color w:val="auto"/>
                <w:spacing w:val="7"/>
                <w:sz w:val="24"/>
                <w:szCs w:val="24"/>
                <w:highlight w:val="none"/>
                <w:lang w:eastAsia="zh-CN"/>
              </w:rPr>
              <w:t>责任科室负责人签字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17" w:hRule="atLeast"/>
        </w:trPr>
        <w:tc>
          <w:tcPr>
            <w:tcW w:w="1231" w:type="dxa"/>
            <w:vMerge w:val="restart"/>
            <w:tcBorders>
              <w:bottom w:val="nil"/>
            </w:tcBorders>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技术能力</w:t>
            </w:r>
          </w:p>
        </w:tc>
        <w:tc>
          <w:tcPr>
            <w:tcW w:w="1256" w:type="dxa"/>
            <w:vMerge w:val="restart"/>
            <w:tcBorders>
              <w:bottom w:val="nil"/>
            </w:tcBorders>
            <w:vAlign w:val="center"/>
          </w:tcPr>
          <w:p>
            <w:pPr>
              <w:spacing w:before="60" w:line="235" w:lineRule="auto"/>
              <w:ind w:left="36"/>
              <w:jc w:val="center"/>
              <w:rPr>
                <w:rFonts w:ascii="宋体" w:hAnsi="宋体" w:eastAsia="宋体" w:cs="宋体"/>
                <w:color w:val="auto"/>
                <w:sz w:val="23"/>
                <w:szCs w:val="23"/>
                <w:highlight w:val="none"/>
              </w:rPr>
            </w:pPr>
          </w:p>
          <w:p>
            <w:pPr>
              <w:spacing w:before="60" w:line="235" w:lineRule="auto"/>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危急重症护理能力</w:t>
            </w:r>
          </w:p>
        </w:tc>
        <w:tc>
          <w:tcPr>
            <w:tcW w:w="2111"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高级生命支持技术</w:t>
            </w:r>
          </w:p>
        </w:tc>
        <w:tc>
          <w:tcPr>
            <w:tcW w:w="4178"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连续性肾脏替代治疗(CRRT)、机械通气护理、血浆置换、血液灌流、双重血浆分子吸附(DPMAS)、胆红素吸附、炎症因子吸附、体外膜肺氧合(ECMO)配合及护理、体外二氧化碳清除(ECCO2R)等</w:t>
            </w:r>
          </w:p>
        </w:tc>
        <w:tc>
          <w:tcPr>
            <w:tcW w:w="3970" w:type="dxa"/>
            <w:vAlign w:val="center"/>
          </w:tcPr>
          <w:p>
            <w:pPr>
              <w:spacing w:before="60" w:line="235" w:lineRule="auto"/>
              <w:ind w:left="36"/>
              <w:jc w:val="center"/>
              <w:rPr>
                <w:rFonts w:ascii="宋体" w:hAnsi="宋体" w:eastAsia="宋体" w:cs="宋体"/>
                <w:color w:val="auto"/>
                <w:sz w:val="23"/>
                <w:szCs w:val="23"/>
                <w:highlight w:val="none"/>
              </w:rPr>
            </w:pPr>
          </w:p>
          <w:p>
            <w:pPr>
              <w:spacing w:before="60" w:line="235" w:lineRule="auto"/>
              <w:ind w:left="36"/>
              <w:jc w:val="center"/>
              <w:rPr>
                <w:rFonts w:ascii="宋体" w:hAnsi="宋体" w:eastAsia="宋体" w:cs="宋体"/>
                <w:color w:val="auto"/>
                <w:sz w:val="23"/>
                <w:szCs w:val="23"/>
                <w:highlight w:val="none"/>
              </w:rPr>
            </w:pPr>
          </w:p>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以护理记录单签名为准</w:t>
            </w:r>
          </w:p>
        </w:tc>
        <w:tc>
          <w:tcPr>
            <w:tcW w:w="1112" w:type="dxa"/>
            <w:vAlign w:val="center"/>
          </w:tcPr>
          <w:p>
            <w:pPr>
              <w:spacing w:before="60" w:line="235" w:lineRule="auto"/>
              <w:ind w:left="36"/>
              <w:jc w:val="center"/>
              <w:rPr>
                <w:rFonts w:ascii="宋体" w:hAnsi="宋体" w:eastAsia="宋体" w:cs="宋体"/>
                <w:color w:val="auto"/>
                <w:sz w:val="23"/>
                <w:szCs w:val="23"/>
                <w:highlight w:val="none"/>
              </w:rPr>
            </w:pPr>
          </w:p>
        </w:tc>
        <w:tc>
          <w:tcPr>
            <w:tcW w:w="1344"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1231" w:type="dxa"/>
            <w:vMerge w:val="continue"/>
            <w:tcBorders>
              <w:top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256" w:type="dxa"/>
            <w:vMerge w:val="continue"/>
            <w:tcBorders>
              <w:top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2111"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突发事件处置</w:t>
            </w:r>
          </w:p>
        </w:tc>
        <w:tc>
          <w:tcPr>
            <w:tcW w:w="4178"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突发卫生事件等应急情况处置</w:t>
            </w:r>
          </w:p>
        </w:tc>
        <w:tc>
          <w:tcPr>
            <w:tcW w:w="3970"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以医院相关部门提供的证明为准(次)</w:t>
            </w:r>
          </w:p>
        </w:tc>
        <w:tc>
          <w:tcPr>
            <w:tcW w:w="1112" w:type="dxa"/>
            <w:vAlign w:val="center"/>
          </w:tcPr>
          <w:p>
            <w:pPr>
              <w:spacing w:before="60" w:line="235" w:lineRule="auto"/>
              <w:ind w:left="36"/>
              <w:jc w:val="center"/>
              <w:rPr>
                <w:rFonts w:ascii="宋体" w:hAnsi="宋体" w:eastAsia="宋体" w:cs="宋体"/>
                <w:color w:val="auto"/>
                <w:sz w:val="23"/>
                <w:szCs w:val="23"/>
                <w:highlight w:val="none"/>
              </w:rPr>
            </w:pPr>
          </w:p>
        </w:tc>
        <w:tc>
          <w:tcPr>
            <w:tcW w:w="1344"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trPr>
        <w:tc>
          <w:tcPr>
            <w:tcW w:w="1231" w:type="dxa"/>
            <w:vMerge w:val="restart"/>
            <w:tcBorders>
              <w:bottom w:val="nil"/>
            </w:tcBorders>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质量安全</w:t>
            </w:r>
          </w:p>
        </w:tc>
        <w:tc>
          <w:tcPr>
            <w:tcW w:w="1256"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患者安全</w:t>
            </w:r>
          </w:p>
        </w:tc>
        <w:tc>
          <w:tcPr>
            <w:tcW w:w="2111"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患者安全典型案例</w:t>
            </w:r>
          </w:p>
        </w:tc>
        <w:tc>
          <w:tcPr>
            <w:tcW w:w="4178"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主持患者安全典型案例</w:t>
            </w:r>
          </w:p>
        </w:tc>
        <w:tc>
          <w:tcPr>
            <w:tcW w:w="3970"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以项目报告为准(项)</w:t>
            </w:r>
          </w:p>
        </w:tc>
        <w:tc>
          <w:tcPr>
            <w:tcW w:w="1112" w:type="dxa"/>
            <w:vAlign w:val="center"/>
          </w:tcPr>
          <w:p>
            <w:pPr>
              <w:spacing w:before="60" w:line="235" w:lineRule="auto"/>
              <w:ind w:left="36"/>
              <w:jc w:val="center"/>
              <w:rPr>
                <w:rFonts w:ascii="宋体" w:hAnsi="宋体" w:eastAsia="宋体" w:cs="宋体"/>
                <w:color w:val="auto"/>
                <w:sz w:val="23"/>
                <w:szCs w:val="23"/>
                <w:highlight w:val="none"/>
              </w:rPr>
            </w:pPr>
          </w:p>
        </w:tc>
        <w:tc>
          <w:tcPr>
            <w:tcW w:w="1344"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9" w:hRule="atLeast"/>
        </w:trPr>
        <w:tc>
          <w:tcPr>
            <w:tcW w:w="1231" w:type="dxa"/>
            <w:vMerge w:val="continue"/>
            <w:tcBorders>
              <w:top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256"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质量改善</w:t>
            </w:r>
          </w:p>
        </w:tc>
        <w:tc>
          <w:tcPr>
            <w:tcW w:w="2111"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护理质量改善项目</w:t>
            </w:r>
          </w:p>
        </w:tc>
        <w:tc>
          <w:tcPr>
            <w:tcW w:w="4178"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主持护理质量改善项目</w:t>
            </w:r>
          </w:p>
        </w:tc>
        <w:tc>
          <w:tcPr>
            <w:tcW w:w="3970"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以项目报告为准(项)</w:t>
            </w:r>
          </w:p>
        </w:tc>
        <w:tc>
          <w:tcPr>
            <w:tcW w:w="1112" w:type="dxa"/>
            <w:vAlign w:val="center"/>
          </w:tcPr>
          <w:p>
            <w:pPr>
              <w:spacing w:before="60" w:line="235" w:lineRule="auto"/>
              <w:ind w:left="36"/>
              <w:jc w:val="center"/>
              <w:rPr>
                <w:rFonts w:ascii="宋体" w:hAnsi="宋体" w:eastAsia="宋体" w:cs="宋体"/>
                <w:color w:val="auto"/>
                <w:sz w:val="23"/>
                <w:szCs w:val="23"/>
                <w:highlight w:val="none"/>
              </w:rPr>
            </w:pPr>
          </w:p>
        </w:tc>
        <w:tc>
          <w:tcPr>
            <w:tcW w:w="1344"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1231" w:type="dxa"/>
            <w:vMerge w:val="restart"/>
            <w:tcBorders>
              <w:bottom w:val="nil"/>
            </w:tcBorders>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教学科普</w:t>
            </w:r>
          </w:p>
        </w:tc>
        <w:tc>
          <w:tcPr>
            <w:tcW w:w="1256" w:type="dxa"/>
            <w:vMerge w:val="restart"/>
            <w:tcBorders>
              <w:bottom w:val="nil"/>
            </w:tcBorders>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教学讲座</w:t>
            </w:r>
          </w:p>
        </w:tc>
        <w:tc>
          <w:tcPr>
            <w:tcW w:w="2111"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指导、带教和授课、教学</w:t>
            </w:r>
          </w:p>
        </w:tc>
        <w:tc>
          <w:tcPr>
            <w:tcW w:w="4178"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晋升周期内指导、带教人数，专业授课、教学次数</w:t>
            </w:r>
          </w:p>
        </w:tc>
        <w:tc>
          <w:tcPr>
            <w:tcW w:w="3970"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指导和带教人次，授课教学次数</w:t>
            </w:r>
          </w:p>
        </w:tc>
        <w:tc>
          <w:tcPr>
            <w:tcW w:w="1112" w:type="dxa"/>
            <w:vAlign w:val="center"/>
          </w:tcPr>
          <w:p>
            <w:pPr>
              <w:spacing w:before="60" w:line="235" w:lineRule="auto"/>
              <w:ind w:left="36"/>
              <w:jc w:val="center"/>
              <w:rPr>
                <w:rFonts w:ascii="宋体" w:hAnsi="宋体" w:eastAsia="宋体" w:cs="宋体"/>
                <w:color w:val="auto"/>
                <w:sz w:val="23"/>
                <w:szCs w:val="23"/>
                <w:highlight w:val="none"/>
              </w:rPr>
            </w:pPr>
          </w:p>
        </w:tc>
        <w:tc>
          <w:tcPr>
            <w:tcW w:w="1344"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1231" w:type="dxa"/>
            <w:vMerge w:val="continue"/>
            <w:tcBorders>
              <w:top w:val="nil"/>
              <w:bottom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256" w:type="dxa"/>
            <w:vMerge w:val="continue"/>
            <w:tcBorders>
              <w:top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2111"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专题讲座或科普</w:t>
            </w:r>
          </w:p>
        </w:tc>
        <w:tc>
          <w:tcPr>
            <w:tcW w:w="4178"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面向社会、学生和医务工作者等讲授本专业领域的专题讲座/科普</w:t>
            </w:r>
          </w:p>
        </w:tc>
        <w:tc>
          <w:tcPr>
            <w:tcW w:w="3970"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以议程为准(次)</w:t>
            </w:r>
          </w:p>
        </w:tc>
        <w:tc>
          <w:tcPr>
            <w:tcW w:w="1112" w:type="dxa"/>
            <w:vAlign w:val="center"/>
          </w:tcPr>
          <w:p>
            <w:pPr>
              <w:spacing w:before="60" w:line="235" w:lineRule="auto"/>
              <w:ind w:left="36"/>
              <w:jc w:val="center"/>
              <w:rPr>
                <w:rFonts w:ascii="宋体" w:hAnsi="宋体" w:eastAsia="宋体" w:cs="宋体"/>
                <w:color w:val="auto"/>
                <w:sz w:val="23"/>
                <w:szCs w:val="23"/>
                <w:highlight w:val="none"/>
              </w:rPr>
            </w:pPr>
          </w:p>
        </w:tc>
        <w:tc>
          <w:tcPr>
            <w:tcW w:w="1344"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3" w:hRule="atLeast"/>
        </w:trPr>
        <w:tc>
          <w:tcPr>
            <w:tcW w:w="1231" w:type="dxa"/>
            <w:vMerge w:val="continue"/>
            <w:tcBorders>
              <w:top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256"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健康宣教</w:t>
            </w:r>
          </w:p>
        </w:tc>
        <w:tc>
          <w:tcPr>
            <w:tcW w:w="2111"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升展健康教育与健康促进活动能力</w:t>
            </w:r>
          </w:p>
        </w:tc>
        <w:tc>
          <w:tcPr>
            <w:tcW w:w="4178"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参与和指导完成各级健康教育与健康促进活动的数量</w:t>
            </w:r>
          </w:p>
        </w:tc>
        <w:tc>
          <w:tcPr>
            <w:tcW w:w="3970"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完成健康教育与健康促进活动数量</w:t>
            </w:r>
          </w:p>
        </w:tc>
        <w:tc>
          <w:tcPr>
            <w:tcW w:w="1112" w:type="dxa"/>
            <w:vAlign w:val="center"/>
          </w:tcPr>
          <w:p>
            <w:pPr>
              <w:spacing w:before="60" w:line="235" w:lineRule="auto"/>
              <w:ind w:left="36"/>
              <w:jc w:val="center"/>
              <w:rPr>
                <w:rFonts w:ascii="宋体" w:hAnsi="宋体" w:eastAsia="宋体" w:cs="宋体"/>
                <w:color w:val="auto"/>
                <w:sz w:val="23"/>
                <w:szCs w:val="23"/>
                <w:highlight w:val="none"/>
              </w:rPr>
            </w:pPr>
          </w:p>
        </w:tc>
        <w:tc>
          <w:tcPr>
            <w:tcW w:w="1344" w:type="dxa"/>
            <w:vAlign w:val="center"/>
          </w:tcPr>
          <w:p>
            <w:pPr>
              <w:spacing w:before="60" w:line="235" w:lineRule="auto"/>
              <w:ind w:left="36"/>
              <w:jc w:val="center"/>
              <w:rPr>
                <w:rFonts w:ascii="宋体" w:hAnsi="宋体" w:eastAsia="宋体" w:cs="宋体"/>
                <w:color w:val="auto"/>
                <w:sz w:val="23"/>
                <w:szCs w:val="23"/>
                <w:highlight w:val="none"/>
              </w:rPr>
            </w:pPr>
          </w:p>
        </w:tc>
      </w:tr>
    </w:tbl>
    <w:p>
      <w:pPr>
        <w:jc w:val="center"/>
        <w:rPr>
          <w:color w:val="auto"/>
          <w:highlight w:val="none"/>
        </w:rPr>
      </w:pPr>
    </w:p>
    <w:p>
      <w:pPr>
        <w:jc w:val="center"/>
        <w:rPr>
          <w:color w:val="auto"/>
          <w:highlight w:val="none"/>
        </w:rPr>
      </w:pPr>
    </w:p>
    <w:p>
      <w:pPr>
        <w:jc w:val="center"/>
        <w:rPr>
          <w:color w:val="auto"/>
          <w:highlight w:val="none"/>
        </w:rPr>
      </w:pPr>
    </w:p>
    <w:p>
      <w:pPr>
        <w:jc w:val="center"/>
        <w:rPr>
          <w:color w:val="auto"/>
          <w:highlight w:val="none"/>
        </w:rPr>
      </w:pPr>
    </w:p>
    <w:p>
      <w:pPr>
        <w:jc w:val="center"/>
        <w:rPr>
          <w:color w:val="auto"/>
          <w:highlight w:val="none"/>
        </w:rPr>
      </w:pPr>
    </w:p>
    <w:p>
      <w:pPr>
        <w:spacing w:before="171" w:line="218" w:lineRule="auto"/>
        <w:ind w:left="4281"/>
        <w:jc w:val="center"/>
        <w:rPr>
          <w:rFonts w:ascii="宋体" w:hAnsi="宋体" w:eastAsia="宋体" w:cs="宋体"/>
          <w:b/>
          <w:bCs/>
          <w:color w:val="auto"/>
          <w:spacing w:val="-8"/>
          <w:sz w:val="44"/>
          <w:szCs w:val="44"/>
          <w:highlight w:val="none"/>
        </w:rPr>
      </w:pPr>
    </w:p>
    <w:p>
      <w:pPr>
        <w:spacing w:before="171" w:line="218" w:lineRule="auto"/>
        <w:jc w:val="center"/>
        <w:rPr>
          <w:rFonts w:hint="eastAsia" w:ascii="宋体" w:hAnsi="宋体" w:eastAsia="方正小标宋简体" w:cs="宋体"/>
          <w:b/>
          <w:bCs/>
          <w:color w:val="auto"/>
          <w:spacing w:val="-8"/>
          <w:sz w:val="44"/>
          <w:szCs w:val="44"/>
          <w:highlight w:val="none"/>
          <w:lang w:eastAsia="zh-CN"/>
        </w:rPr>
      </w:pPr>
      <w:r>
        <w:rPr>
          <w:rFonts w:hint="eastAsia" w:ascii="方正小标宋简体" w:hAnsi="方正小标宋简体" w:eastAsia="方正小标宋简体" w:cs="方正小标宋简体"/>
          <w:b w:val="0"/>
          <w:bCs w:val="0"/>
          <w:color w:val="auto"/>
          <w:spacing w:val="-8"/>
          <w:sz w:val="38"/>
          <w:szCs w:val="38"/>
          <w:highlight w:val="none"/>
        </w:rPr>
        <w:t>医学技术专业</w:t>
      </w:r>
      <w:r>
        <w:rPr>
          <w:rFonts w:hint="eastAsia" w:ascii="方正小标宋简体" w:hAnsi="方正小标宋简体" w:eastAsia="方正小标宋简体" w:cs="方正小标宋简体"/>
          <w:b w:val="0"/>
          <w:bCs w:val="0"/>
          <w:color w:val="auto"/>
          <w:spacing w:val="-8"/>
          <w:sz w:val="38"/>
          <w:szCs w:val="38"/>
          <w:highlight w:val="none"/>
          <w:lang w:eastAsia="zh-CN"/>
        </w:rPr>
        <w:t>高级职称评价指标核定表</w:t>
      </w:r>
    </w:p>
    <w:p>
      <w:pPr>
        <w:spacing w:before="154" w:line="218" w:lineRule="auto"/>
        <w:jc w:val="left"/>
        <w:rPr>
          <w:color w:val="auto"/>
          <w:highlight w:val="none"/>
        </w:rPr>
      </w:pPr>
      <w:r>
        <w:rPr>
          <w:rFonts w:hint="eastAsia" w:ascii="宋体" w:hAnsi="宋体" w:eastAsia="宋体" w:cs="宋体"/>
          <w:b/>
          <w:bCs/>
          <w:color w:val="auto"/>
          <w:spacing w:val="-4"/>
          <w:sz w:val="24"/>
          <w:szCs w:val="24"/>
          <w:highlight w:val="none"/>
          <w:lang w:eastAsia="zh-CN"/>
        </w:rPr>
        <w:t>申报单位：（盖章）</w:t>
      </w:r>
      <w:r>
        <w:rPr>
          <w:rFonts w:hint="eastAsia" w:ascii="宋体" w:hAnsi="宋体" w:eastAsia="宋体" w:cs="宋体"/>
          <w:b/>
          <w:bCs/>
          <w:color w:val="auto"/>
          <w:spacing w:val="-4"/>
          <w:sz w:val="24"/>
          <w:szCs w:val="24"/>
          <w:highlight w:val="none"/>
          <w:lang w:val="en-US" w:eastAsia="zh-CN"/>
        </w:rPr>
        <w:t xml:space="preserve">                                  申报人姓名：                             申报专业技术职务：</w:t>
      </w:r>
    </w:p>
    <w:p>
      <w:pPr>
        <w:spacing w:line="25" w:lineRule="exact"/>
        <w:jc w:val="center"/>
        <w:rPr>
          <w:color w:val="auto"/>
          <w:highlight w:val="none"/>
        </w:rPr>
      </w:pPr>
    </w:p>
    <w:tbl>
      <w:tblPr>
        <w:tblStyle w:val="5"/>
        <w:tblW w:w="1528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84"/>
        <w:gridCol w:w="1144"/>
        <w:gridCol w:w="2467"/>
        <w:gridCol w:w="4422"/>
        <w:gridCol w:w="3652"/>
        <w:gridCol w:w="1055"/>
        <w:gridCol w:w="14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4" w:hRule="atLeast"/>
        </w:trPr>
        <w:tc>
          <w:tcPr>
            <w:tcW w:w="1084" w:type="dxa"/>
            <w:vAlign w:val="center"/>
          </w:tcPr>
          <w:p>
            <w:pPr>
              <w:spacing w:before="169" w:line="218" w:lineRule="auto"/>
              <w:jc w:val="center"/>
              <w:rPr>
                <w:rFonts w:ascii="宋体" w:hAnsi="宋体" w:eastAsia="宋体" w:cs="宋体"/>
                <w:color w:val="auto"/>
                <w:sz w:val="23"/>
                <w:szCs w:val="23"/>
                <w:highlight w:val="none"/>
              </w:rPr>
            </w:pPr>
            <w:r>
              <w:rPr>
                <w:rFonts w:ascii="宋体" w:hAnsi="宋体" w:eastAsia="宋体" w:cs="宋体"/>
                <w:b/>
                <w:bCs/>
                <w:color w:val="auto"/>
                <w:spacing w:val="-4"/>
                <w:sz w:val="23"/>
                <w:szCs w:val="23"/>
                <w:highlight w:val="none"/>
              </w:rPr>
              <w:t>评价维度</w:t>
            </w:r>
          </w:p>
        </w:tc>
        <w:tc>
          <w:tcPr>
            <w:tcW w:w="1144" w:type="dxa"/>
            <w:vAlign w:val="center"/>
          </w:tcPr>
          <w:p>
            <w:pPr>
              <w:spacing w:before="171" w:line="220" w:lineRule="auto"/>
              <w:jc w:val="center"/>
              <w:rPr>
                <w:rFonts w:ascii="宋体" w:hAnsi="宋体" w:eastAsia="宋体" w:cs="宋体"/>
                <w:color w:val="auto"/>
                <w:sz w:val="23"/>
                <w:szCs w:val="23"/>
                <w:highlight w:val="none"/>
              </w:rPr>
            </w:pPr>
            <w:r>
              <w:rPr>
                <w:rFonts w:ascii="宋体" w:hAnsi="宋体" w:eastAsia="宋体" w:cs="宋体"/>
                <w:b/>
                <w:bCs/>
                <w:color w:val="auto"/>
                <w:spacing w:val="-5"/>
                <w:sz w:val="23"/>
                <w:szCs w:val="23"/>
                <w:highlight w:val="none"/>
              </w:rPr>
              <w:t>二级指标</w:t>
            </w:r>
          </w:p>
        </w:tc>
        <w:tc>
          <w:tcPr>
            <w:tcW w:w="2467" w:type="dxa"/>
            <w:vAlign w:val="center"/>
          </w:tcPr>
          <w:p>
            <w:pPr>
              <w:spacing w:before="171" w:line="220" w:lineRule="auto"/>
              <w:jc w:val="center"/>
              <w:rPr>
                <w:rFonts w:ascii="宋体" w:hAnsi="宋体" w:eastAsia="宋体" w:cs="宋体"/>
                <w:color w:val="auto"/>
                <w:sz w:val="23"/>
                <w:szCs w:val="23"/>
                <w:highlight w:val="none"/>
              </w:rPr>
            </w:pPr>
            <w:r>
              <w:rPr>
                <w:rFonts w:ascii="宋体" w:hAnsi="宋体" w:eastAsia="宋体" w:cs="宋体"/>
                <w:b/>
                <w:bCs/>
                <w:color w:val="auto"/>
                <w:spacing w:val="-5"/>
                <w:sz w:val="23"/>
                <w:szCs w:val="23"/>
                <w:highlight w:val="none"/>
              </w:rPr>
              <w:t>三级指标</w:t>
            </w:r>
          </w:p>
        </w:tc>
        <w:tc>
          <w:tcPr>
            <w:tcW w:w="4422" w:type="dxa"/>
            <w:vAlign w:val="center"/>
          </w:tcPr>
          <w:p>
            <w:pPr>
              <w:spacing w:before="171" w:line="220" w:lineRule="auto"/>
              <w:jc w:val="center"/>
              <w:rPr>
                <w:rFonts w:ascii="宋体" w:hAnsi="宋体" w:eastAsia="宋体" w:cs="宋体"/>
                <w:color w:val="auto"/>
                <w:sz w:val="23"/>
                <w:szCs w:val="23"/>
                <w:highlight w:val="none"/>
              </w:rPr>
            </w:pPr>
            <w:r>
              <w:rPr>
                <w:rFonts w:ascii="宋体" w:hAnsi="宋体" w:eastAsia="宋体" w:cs="宋体"/>
                <w:b/>
                <w:bCs/>
                <w:color w:val="auto"/>
                <w:spacing w:val="8"/>
                <w:sz w:val="23"/>
                <w:szCs w:val="23"/>
                <w:highlight w:val="none"/>
              </w:rPr>
              <w:t>指标定义</w:t>
            </w:r>
          </w:p>
        </w:tc>
        <w:tc>
          <w:tcPr>
            <w:tcW w:w="3652" w:type="dxa"/>
            <w:vAlign w:val="center"/>
          </w:tcPr>
          <w:p>
            <w:pPr>
              <w:spacing w:before="171" w:line="219" w:lineRule="auto"/>
              <w:jc w:val="center"/>
              <w:rPr>
                <w:rFonts w:ascii="宋体" w:hAnsi="宋体" w:eastAsia="宋体" w:cs="宋体"/>
                <w:color w:val="auto"/>
                <w:sz w:val="23"/>
                <w:szCs w:val="23"/>
                <w:highlight w:val="none"/>
              </w:rPr>
            </w:pPr>
            <w:r>
              <w:rPr>
                <w:rFonts w:ascii="宋体" w:hAnsi="宋体" w:eastAsia="宋体" w:cs="宋体"/>
                <w:b/>
                <w:bCs/>
                <w:color w:val="auto"/>
                <w:spacing w:val="-4"/>
                <w:sz w:val="23"/>
                <w:szCs w:val="23"/>
                <w:highlight w:val="none"/>
              </w:rPr>
              <w:t>计算方法</w:t>
            </w:r>
          </w:p>
        </w:tc>
        <w:tc>
          <w:tcPr>
            <w:tcW w:w="1055" w:type="dxa"/>
            <w:vAlign w:val="center"/>
          </w:tcPr>
          <w:p>
            <w:pPr>
              <w:spacing w:before="101" w:line="219" w:lineRule="auto"/>
              <w:jc w:val="center"/>
              <w:rPr>
                <w:rFonts w:hint="eastAsia" w:ascii="宋体" w:hAnsi="宋体" w:eastAsia="宋体" w:cs="宋体"/>
                <w:b/>
                <w:bCs/>
                <w:snapToGrid w:val="0"/>
                <w:color w:val="auto"/>
                <w:spacing w:val="2"/>
                <w:kern w:val="0"/>
                <w:sz w:val="24"/>
                <w:szCs w:val="24"/>
                <w:highlight w:val="none"/>
                <w:lang w:eastAsia="zh-CN"/>
              </w:rPr>
            </w:pPr>
            <w:r>
              <w:rPr>
                <w:rFonts w:hint="eastAsia" w:ascii="宋体" w:hAnsi="宋体" w:eastAsia="宋体" w:cs="宋体"/>
                <w:b/>
                <w:bCs/>
                <w:color w:val="auto"/>
                <w:spacing w:val="2"/>
                <w:sz w:val="24"/>
                <w:szCs w:val="24"/>
                <w:highlight w:val="none"/>
                <w:lang w:eastAsia="zh-CN"/>
              </w:rPr>
              <w:t>指标完成情况</w:t>
            </w:r>
          </w:p>
        </w:tc>
        <w:tc>
          <w:tcPr>
            <w:tcW w:w="1456" w:type="dxa"/>
            <w:vAlign w:val="center"/>
          </w:tcPr>
          <w:p>
            <w:pPr>
              <w:spacing w:before="101" w:line="219" w:lineRule="auto"/>
              <w:jc w:val="center"/>
              <w:rPr>
                <w:rFonts w:ascii="宋体" w:hAnsi="宋体" w:eastAsia="宋体" w:cs="宋体"/>
                <w:b/>
                <w:bCs/>
                <w:snapToGrid w:val="0"/>
                <w:color w:val="auto"/>
                <w:spacing w:val="2"/>
                <w:kern w:val="0"/>
                <w:sz w:val="24"/>
                <w:szCs w:val="24"/>
                <w:highlight w:val="none"/>
              </w:rPr>
            </w:pPr>
            <w:r>
              <w:rPr>
                <w:rFonts w:hint="eastAsia" w:ascii="宋体" w:hAnsi="宋体" w:eastAsia="宋体" w:cs="宋体"/>
                <w:b/>
                <w:bCs/>
                <w:color w:val="auto"/>
                <w:spacing w:val="7"/>
                <w:sz w:val="24"/>
                <w:szCs w:val="24"/>
                <w:highlight w:val="none"/>
                <w:lang w:eastAsia="zh-CN"/>
              </w:rPr>
              <w:t>责任科室负责人签字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9" w:hRule="atLeast"/>
        </w:trPr>
        <w:tc>
          <w:tcPr>
            <w:tcW w:w="1084" w:type="dxa"/>
            <w:vMerge w:val="restart"/>
            <w:tcBorders>
              <w:bottom w:val="nil"/>
            </w:tcBorders>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技术能力</w:t>
            </w:r>
          </w:p>
        </w:tc>
        <w:tc>
          <w:tcPr>
            <w:tcW w:w="1144" w:type="dxa"/>
            <w:vMerge w:val="restart"/>
            <w:tcBorders>
              <w:bottom w:val="nil"/>
            </w:tcBorders>
            <w:vAlign w:val="center"/>
          </w:tcPr>
          <w:p>
            <w:pPr>
              <w:spacing w:before="60" w:line="235" w:lineRule="auto"/>
              <w:ind w:left="36"/>
              <w:jc w:val="center"/>
              <w:rPr>
                <w:rFonts w:ascii="宋体" w:hAnsi="宋体" w:eastAsia="宋体" w:cs="宋体"/>
                <w:color w:val="auto"/>
                <w:sz w:val="23"/>
                <w:szCs w:val="23"/>
                <w:highlight w:val="none"/>
              </w:rPr>
            </w:pPr>
          </w:p>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专业技术</w:t>
            </w:r>
          </w:p>
        </w:tc>
        <w:tc>
          <w:tcPr>
            <w:tcW w:w="2467"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主持推广本专业新技术新项目能力</w:t>
            </w:r>
          </w:p>
        </w:tc>
        <w:tc>
          <w:tcPr>
            <w:tcW w:w="4422"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主持或推广本专业领域创新技术、新项目，经单位审批立项并付诸实施</w:t>
            </w:r>
          </w:p>
        </w:tc>
        <w:tc>
          <w:tcPr>
            <w:tcW w:w="3652"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主持推广创新技术或新项目案例数量</w:t>
            </w:r>
          </w:p>
        </w:tc>
        <w:tc>
          <w:tcPr>
            <w:tcW w:w="1055" w:type="dxa"/>
            <w:vAlign w:val="center"/>
          </w:tcPr>
          <w:p>
            <w:pPr>
              <w:spacing w:before="60" w:line="235" w:lineRule="auto"/>
              <w:ind w:left="36"/>
              <w:jc w:val="center"/>
              <w:rPr>
                <w:rFonts w:ascii="宋体" w:hAnsi="宋体" w:eastAsia="宋体" w:cs="宋体"/>
                <w:color w:val="auto"/>
                <w:sz w:val="23"/>
                <w:szCs w:val="23"/>
                <w:highlight w:val="none"/>
              </w:rPr>
            </w:pPr>
          </w:p>
        </w:tc>
        <w:tc>
          <w:tcPr>
            <w:tcW w:w="1456"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9" w:hRule="atLeast"/>
        </w:trPr>
        <w:tc>
          <w:tcPr>
            <w:tcW w:w="1084" w:type="dxa"/>
            <w:vMerge w:val="continue"/>
            <w:tcBorders>
              <w:top w:val="nil"/>
              <w:bottom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144" w:type="dxa"/>
            <w:vMerge w:val="continue"/>
            <w:tcBorders>
              <w:top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2467"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技术分析及解决方案</w:t>
            </w:r>
          </w:p>
        </w:tc>
        <w:tc>
          <w:tcPr>
            <w:tcW w:w="4422"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运用实践经验独立解决本专业复杂疑难的技术问题</w:t>
            </w:r>
          </w:p>
        </w:tc>
        <w:tc>
          <w:tcPr>
            <w:tcW w:w="3652"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代表案例或报告等</w:t>
            </w:r>
          </w:p>
        </w:tc>
        <w:tc>
          <w:tcPr>
            <w:tcW w:w="1055" w:type="dxa"/>
            <w:vAlign w:val="center"/>
          </w:tcPr>
          <w:p>
            <w:pPr>
              <w:spacing w:before="60" w:line="235" w:lineRule="auto"/>
              <w:ind w:left="36"/>
              <w:jc w:val="center"/>
              <w:rPr>
                <w:rFonts w:ascii="宋体" w:hAnsi="宋体" w:eastAsia="宋体" w:cs="宋体"/>
                <w:color w:val="auto"/>
                <w:sz w:val="23"/>
                <w:szCs w:val="23"/>
                <w:highlight w:val="none"/>
              </w:rPr>
            </w:pPr>
          </w:p>
        </w:tc>
        <w:tc>
          <w:tcPr>
            <w:tcW w:w="1456"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084" w:type="dxa"/>
            <w:vMerge w:val="continue"/>
            <w:tcBorders>
              <w:top w:val="nil"/>
              <w:bottom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144"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设备操作</w:t>
            </w:r>
          </w:p>
        </w:tc>
        <w:tc>
          <w:tcPr>
            <w:tcW w:w="2467"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专业设备规范操作、日常管理及维护</w:t>
            </w:r>
          </w:p>
        </w:tc>
        <w:tc>
          <w:tcPr>
            <w:tcW w:w="4422"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熟悉本专业设备的规范操作、日常管理及维护</w:t>
            </w:r>
          </w:p>
        </w:tc>
        <w:tc>
          <w:tcPr>
            <w:tcW w:w="3652"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管理使用维护设备台数、种类及操作频次</w:t>
            </w:r>
          </w:p>
        </w:tc>
        <w:tc>
          <w:tcPr>
            <w:tcW w:w="1055" w:type="dxa"/>
            <w:vAlign w:val="center"/>
          </w:tcPr>
          <w:p>
            <w:pPr>
              <w:spacing w:before="60" w:line="235" w:lineRule="auto"/>
              <w:ind w:left="36"/>
              <w:jc w:val="center"/>
              <w:rPr>
                <w:rFonts w:ascii="宋体" w:hAnsi="宋体" w:eastAsia="宋体" w:cs="宋体"/>
                <w:color w:val="auto"/>
                <w:sz w:val="23"/>
                <w:szCs w:val="23"/>
                <w:highlight w:val="none"/>
              </w:rPr>
            </w:pPr>
          </w:p>
        </w:tc>
        <w:tc>
          <w:tcPr>
            <w:tcW w:w="1456"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9" w:hRule="atLeast"/>
        </w:trPr>
        <w:tc>
          <w:tcPr>
            <w:tcW w:w="1084" w:type="dxa"/>
            <w:vMerge w:val="continue"/>
            <w:tcBorders>
              <w:top w:val="nil"/>
              <w:bottom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144" w:type="dxa"/>
            <w:vMerge w:val="restart"/>
            <w:tcBorders>
              <w:bottom w:val="nil"/>
            </w:tcBorders>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业务管理</w:t>
            </w:r>
          </w:p>
        </w:tc>
        <w:tc>
          <w:tcPr>
            <w:tcW w:w="2467"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本专业技术管理能力</w:t>
            </w:r>
          </w:p>
        </w:tc>
        <w:tc>
          <w:tcPr>
            <w:tcW w:w="4422"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组织、领导本专业开展日常工作，开展技术项目，成果显著</w:t>
            </w:r>
          </w:p>
        </w:tc>
        <w:tc>
          <w:tcPr>
            <w:tcW w:w="3652"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技术项目数</w:t>
            </w:r>
          </w:p>
        </w:tc>
        <w:tc>
          <w:tcPr>
            <w:tcW w:w="1055" w:type="dxa"/>
            <w:vAlign w:val="center"/>
          </w:tcPr>
          <w:p>
            <w:pPr>
              <w:spacing w:before="60" w:line="235" w:lineRule="auto"/>
              <w:ind w:left="36"/>
              <w:jc w:val="center"/>
              <w:rPr>
                <w:rFonts w:ascii="宋体" w:hAnsi="宋体" w:eastAsia="宋体" w:cs="宋体"/>
                <w:color w:val="auto"/>
                <w:sz w:val="23"/>
                <w:szCs w:val="23"/>
                <w:highlight w:val="none"/>
              </w:rPr>
            </w:pPr>
          </w:p>
        </w:tc>
        <w:tc>
          <w:tcPr>
            <w:tcW w:w="1456"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084" w:type="dxa"/>
            <w:vMerge w:val="continue"/>
            <w:tcBorders>
              <w:top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144" w:type="dxa"/>
            <w:vMerge w:val="continue"/>
            <w:tcBorders>
              <w:top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2467"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本专业质量管理能力</w:t>
            </w:r>
          </w:p>
        </w:tc>
        <w:tc>
          <w:tcPr>
            <w:tcW w:w="4422"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主持制定机构内部制度、标准操作规程(sop)等，参与与主持本专业质量控制工作</w:t>
            </w:r>
          </w:p>
        </w:tc>
        <w:tc>
          <w:tcPr>
            <w:tcW w:w="3652"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主持制定操作规程和规章制度数量</w:t>
            </w:r>
          </w:p>
        </w:tc>
        <w:tc>
          <w:tcPr>
            <w:tcW w:w="1055" w:type="dxa"/>
            <w:vAlign w:val="center"/>
          </w:tcPr>
          <w:p>
            <w:pPr>
              <w:spacing w:before="60" w:line="235" w:lineRule="auto"/>
              <w:ind w:left="36"/>
              <w:jc w:val="center"/>
              <w:rPr>
                <w:rFonts w:ascii="宋体" w:hAnsi="宋体" w:eastAsia="宋体" w:cs="宋体"/>
                <w:color w:val="auto"/>
                <w:sz w:val="23"/>
                <w:szCs w:val="23"/>
                <w:highlight w:val="none"/>
              </w:rPr>
            </w:pPr>
          </w:p>
        </w:tc>
        <w:tc>
          <w:tcPr>
            <w:tcW w:w="1456"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9" w:hRule="atLeast"/>
        </w:trPr>
        <w:tc>
          <w:tcPr>
            <w:tcW w:w="1084" w:type="dxa"/>
            <w:vMerge w:val="restart"/>
            <w:tcBorders>
              <w:bottom w:val="nil"/>
            </w:tcBorders>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质量安全</w:t>
            </w:r>
          </w:p>
        </w:tc>
        <w:tc>
          <w:tcPr>
            <w:tcW w:w="1144"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质量改善</w:t>
            </w:r>
          </w:p>
        </w:tc>
        <w:tc>
          <w:tcPr>
            <w:tcW w:w="2467"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检验、报告等质量改善项目</w:t>
            </w:r>
          </w:p>
        </w:tc>
        <w:tc>
          <w:tcPr>
            <w:tcW w:w="4422"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主持检验、报告等质量持续改善项目</w:t>
            </w:r>
          </w:p>
        </w:tc>
        <w:tc>
          <w:tcPr>
            <w:tcW w:w="3652"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以项目报告为准(项)</w:t>
            </w:r>
          </w:p>
        </w:tc>
        <w:tc>
          <w:tcPr>
            <w:tcW w:w="1055" w:type="dxa"/>
            <w:vAlign w:val="center"/>
          </w:tcPr>
          <w:p>
            <w:pPr>
              <w:spacing w:before="60" w:line="235" w:lineRule="auto"/>
              <w:ind w:left="36"/>
              <w:jc w:val="center"/>
              <w:rPr>
                <w:rFonts w:ascii="宋体" w:hAnsi="宋体" w:eastAsia="宋体" w:cs="宋体"/>
                <w:color w:val="auto"/>
                <w:sz w:val="23"/>
                <w:szCs w:val="23"/>
                <w:highlight w:val="none"/>
              </w:rPr>
            </w:pPr>
          </w:p>
        </w:tc>
        <w:tc>
          <w:tcPr>
            <w:tcW w:w="1456"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02" w:hRule="atLeast"/>
        </w:trPr>
        <w:tc>
          <w:tcPr>
            <w:tcW w:w="1084" w:type="dxa"/>
            <w:vMerge w:val="continue"/>
            <w:tcBorders>
              <w:top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144"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生物安全</w:t>
            </w:r>
          </w:p>
        </w:tc>
        <w:tc>
          <w:tcPr>
            <w:tcW w:w="2467"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生物安全管控能力</w:t>
            </w:r>
          </w:p>
        </w:tc>
        <w:tc>
          <w:tcPr>
            <w:tcW w:w="4422"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个人生物安全防护，标本采集、使用、保管和废弃物管理等符合规定，各种工作记录规范、明晰，认真落实实验室院内感染防控有关规定</w:t>
            </w:r>
          </w:p>
        </w:tc>
        <w:tc>
          <w:tcPr>
            <w:tcW w:w="3652"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以各种工作记录(含危害评估、生物安全培训、危险废弃物记录和职业性疾病、伤害和不利事件报告等)为准</w:t>
            </w:r>
          </w:p>
        </w:tc>
        <w:tc>
          <w:tcPr>
            <w:tcW w:w="1055" w:type="dxa"/>
            <w:vAlign w:val="center"/>
          </w:tcPr>
          <w:p>
            <w:pPr>
              <w:spacing w:before="60" w:line="235" w:lineRule="auto"/>
              <w:ind w:left="36"/>
              <w:jc w:val="center"/>
              <w:rPr>
                <w:rFonts w:ascii="宋体" w:hAnsi="宋体" w:eastAsia="宋体" w:cs="宋体"/>
                <w:color w:val="auto"/>
                <w:sz w:val="23"/>
                <w:szCs w:val="23"/>
                <w:highlight w:val="none"/>
              </w:rPr>
            </w:pPr>
          </w:p>
        </w:tc>
        <w:tc>
          <w:tcPr>
            <w:tcW w:w="1456" w:type="dxa"/>
            <w:vAlign w:val="center"/>
          </w:tcPr>
          <w:p>
            <w:pPr>
              <w:spacing w:before="60" w:line="235" w:lineRule="auto"/>
              <w:ind w:left="36"/>
              <w:jc w:val="center"/>
              <w:rPr>
                <w:rFonts w:ascii="宋体" w:hAnsi="宋体" w:eastAsia="宋体" w:cs="宋体"/>
                <w:color w:val="auto"/>
                <w:sz w:val="23"/>
                <w:szCs w:val="23"/>
                <w:highlight w:val="none"/>
              </w:rPr>
            </w:pPr>
          </w:p>
        </w:tc>
      </w:tr>
    </w:tbl>
    <w:p>
      <w:pPr>
        <w:jc w:val="center"/>
        <w:rPr>
          <w:color w:val="auto"/>
          <w:highlight w:val="none"/>
        </w:rPr>
      </w:pPr>
    </w:p>
    <w:p>
      <w:pPr>
        <w:jc w:val="center"/>
        <w:rPr>
          <w:color w:val="auto"/>
          <w:highlight w:val="none"/>
        </w:rPr>
      </w:pPr>
    </w:p>
    <w:p>
      <w:pPr>
        <w:jc w:val="center"/>
        <w:rPr>
          <w:color w:val="auto"/>
          <w:highlight w:val="none"/>
        </w:rPr>
      </w:pPr>
    </w:p>
    <w:tbl>
      <w:tblPr>
        <w:tblStyle w:val="5"/>
        <w:tblW w:w="15235"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24"/>
        <w:gridCol w:w="1278"/>
        <w:gridCol w:w="2304"/>
        <w:gridCol w:w="4400"/>
        <w:gridCol w:w="3663"/>
        <w:gridCol w:w="1066"/>
        <w:gridCol w:w="14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3" w:hRule="atLeast"/>
        </w:trPr>
        <w:tc>
          <w:tcPr>
            <w:tcW w:w="1124" w:type="dxa"/>
            <w:vAlign w:val="center"/>
          </w:tcPr>
          <w:p>
            <w:pPr>
              <w:spacing w:before="149" w:line="218" w:lineRule="auto"/>
              <w:ind w:left="128"/>
              <w:jc w:val="center"/>
              <w:rPr>
                <w:rFonts w:ascii="宋体" w:hAnsi="宋体" w:eastAsia="宋体" w:cs="宋体"/>
                <w:color w:val="auto"/>
                <w:sz w:val="24"/>
                <w:szCs w:val="24"/>
                <w:highlight w:val="none"/>
              </w:rPr>
            </w:pPr>
            <w:r>
              <w:rPr>
                <w:rFonts w:ascii="宋体" w:hAnsi="宋体" w:eastAsia="宋体" w:cs="宋体"/>
                <w:b/>
                <w:bCs/>
                <w:color w:val="auto"/>
                <w:spacing w:val="-5"/>
                <w:sz w:val="24"/>
                <w:szCs w:val="24"/>
                <w:highlight w:val="none"/>
              </w:rPr>
              <w:t>评价维度</w:t>
            </w:r>
          </w:p>
        </w:tc>
        <w:tc>
          <w:tcPr>
            <w:tcW w:w="1278" w:type="dxa"/>
            <w:vAlign w:val="center"/>
          </w:tcPr>
          <w:p>
            <w:pPr>
              <w:spacing w:before="152" w:line="220" w:lineRule="auto"/>
              <w:ind w:left="194"/>
              <w:jc w:val="center"/>
              <w:rPr>
                <w:rFonts w:ascii="宋体" w:hAnsi="宋体" w:eastAsia="宋体" w:cs="宋体"/>
                <w:color w:val="auto"/>
                <w:sz w:val="24"/>
                <w:szCs w:val="24"/>
                <w:highlight w:val="none"/>
              </w:rPr>
            </w:pPr>
            <w:r>
              <w:rPr>
                <w:rFonts w:ascii="宋体" w:hAnsi="宋体" w:eastAsia="宋体" w:cs="宋体"/>
                <w:b/>
                <w:bCs/>
                <w:color w:val="auto"/>
                <w:spacing w:val="-5"/>
                <w:sz w:val="24"/>
                <w:szCs w:val="24"/>
                <w:highlight w:val="none"/>
              </w:rPr>
              <w:t>二级指标</w:t>
            </w:r>
          </w:p>
        </w:tc>
        <w:tc>
          <w:tcPr>
            <w:tcW w:w="2304" w:type="dxa"/>
            <w:vAlign w:val="center"/>
          </w:tcPr>
          <w:p>
            <w:pPr>
              <w:spacing w:before="152" w:line="220" w:lineRule="auto"/>
              <w:jc w:val="center"/>
              <w:rPr>
                <w:rFonts w:ascii="宋体" w:hAnsi="宋体" w:eastAsia="宋体" w:cs="宋体"/>
                <w:color w:val="auto"/>
                <w:sz w:val="24"/>
                <w:szCs w:val="24"/>
                <w:highlight w:val="none"/>
              </w:rPr>
            </w:pPr>
            <w:r>
              <w:rPr>
                <w:rFonts w:ascii="宋体" w:hAnsi="宋体" w:eastAsia="宋体" w:cs="宋体"/>
                <w:b/>
                <w:bCs/>
                <w:color w:val="auto"/>
                <w:spacing w:val="-5"/>
                <w:sz w:val="24"/>
                <w:szCs w:val="24"/>
                <w:highlight w:val="none"/>
              </w:rPr>
              <w:t>三级指标</w:t>
            </w:r>
          </w:p>
        </w:tc>
        <w:tc>
          <w:tcPr>
            <w:tcW w:w="4400" w:type="dxa"/>
            <w:vAlign w:val="center"/>
          </w:tcPr>
          <w:p>
            <w:pPr>
              <w:spacing w:before="152" w:line="220" w:lineRule="auto"/>
              <w:jc w:val="center"/>
              <w:rPr>
                <w:rFonts w:ascii="宋体" w:hAnsi="宋体" w:eastAsia="宋体" w:cs="宋体"/>
                <w:color w:val="auto"/>
                <w:sz w:val="24"/>
                <w:szCs w:val="24"/>
                <w:highlight w:val="none"/>
              </w:rPr>
            </w:pPr>
            <w:r>
              <w:rPr>
                <w:rFonts w:ascii="宋体" w:hAnsi="宋体" w:eastAsia="宋体" w:cs="宋体"/>
                <w:b/>
                <w:bCs/>
                <w:color w:val="auto"/>
                <w:spacing w:val="-5"/>
                <w:sz w:val="24"/>
                <w:szCs w:val="24"/>
                <w:highlight w:val="none"/>
              </w:rPr>
              <w:t>指标定义</w:t>
            </w:r>
          </w:p>
        </w:tc>
        <w:tc>
          <w:tcPr>
            <w:tcW w:w="3663" w:type="dxa"/>
            <w:vAlign w:val="center"/>
          </w:tcPr>
          <w:p>
            <w:pPr>
              <w:spacing w:before="151" w:line="219" w:lineRule="auto"/>
              <w:ind w:left="1271"/>
              <w:jc w:val="center"/>
              <w:rPr>
                <w:rFonts w:ascii="宋体" w:hAnsi="宋体" w:eastAsia="宋体" w:cs="宋体"/>
                <w:color w:val="auto"/>
                <w:sz w:val="24"/>
                <w:szCs w:val="24"/>
                <w:highlight w:val="none"/>
              </w:rPr>
            </w:pPr>
            <w:r>
              <w:rPr>
                <w:rFonts w:ascii="宋体" w:hAnsi="宋体" w:eastAsia="宋体" w:cs="宋体"/>
                <w:b/>
                <w:bCs/>
                <w:color w:val="auto"/>
                <w:spacing w:val="-5"/>
                <w:sz w:val="24"/>
                <w:szCs w:val="24"/>
                <w:highlight w:val="none"/>
              </w:rPr>
              <w:t>计算方法</w:t>
            </w:r>
          </w:p>
        </w:tc>
        <w:tc>
          <w:tcPr>
            <w:tcW w:w="1066" w:type="dxa"/>
            <w:vAlign w:val="center"/>
          </w:tcPr>
          <w:p>
            <w:pPr>
              <w:spacing w:before="101" w:line="219" w:lineRule="auto"/>
              <w:jc w:val="center"/>
              <w:rPr>
                <w:rFonts w:hint="eastAsia" w:ascii="宋体" w:hAnsi="宋体" w:eastAsia="宋体" w:cs="宋体"/>
                <w:b/>
                <w:bCs/>
                <w:snapToGrid w:val="0"/>
                <w:color w:val="auto"/>
                <w:spacing w:val="2"/>
                <w:kern w:val="0"/>
                <w:sz w:val="24"/>
                <w:szCs w:val="24"/>
                <w:highlight w:val="none"/>
                <w:lang w:eastAsia="zh-CN"/>
              </w:rPr>
            </w:pPr>
            <w:r>
              <w:rPr>
                <w:rFonts w:hint="eastAsia" w:ascii="宋体" w:hAnsi="宋体" w:eastAsia="宋体" w:cs="宋体"/>
                <w:b/>
                <w:bCs/>
                <w:color w:val="auto"/>
                <w:spacing w:val="2"/>
                <w:sz w:val="24"/>
                <w:szCs w:val="24"/>
                <w:highlight w:val="none"/>
                <w:lang w:eastAsia="zh-CN"/>
              </w:rPr>
              <w:t>指标完成情况</w:t>
            </w:r>
          </w:p>
        </w:tc>
        <w:tc>
          <w:tcPr>
            <w:tcW w:w="1400" w:type="dxa"/>
            <w:vAlign w:val="center"/>
          </w:tcPr>
          <w:p>
            <w:pPr>
              <w:spacing w:before="101" w:line="219" w:lineRule="auto"/>
              <w:jc w:val="center"/>
              <w:rPr>
                <w:rFonts w:ascii="宋体" w:hAnsi="宋体" w:eastAsia="宋体" w:cs="宋体"/>
                <w:b/>
                <w:bCs/>
                <w:snapToGrid w:val="0"/>
                <w:color w:val="auto"/>
                <w:spacing w:val="2"/>
                <w:kern w:val="0"/>
                <w:sz w:val="24"/>
                <w:szCs w:val="24"/>
                <w:highlight w:val="none"/>
              </w:rPr>
            </w:pPr>
            <w:r>
              <w:rPr>
                <w:rFonts w:hint="eastAsia" w:ascii="宋体" w:hAnsi="宋体" w:eastAsia="宋体" w:cs="宋体"/>
                <w:b/>
                <w:bCs/>
                <w:color w:val="auto"/>
                <w:spacing w:val="7"/>
                <w:sz w:val="24"/>
                <w:szCs w:val="24"/>
                <w:highlight w:val="none"/>
                <w:lang w:eastAsia="zh-CN"/>
              </w:rPr>
              <w:t>责任科室负责人签字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8" w:hRule="atLeast"/>
        </w:trPr>
        <w:tc>
          <w:tcPr>
            <w:tcW w:w="1124" w:type="dxa"/>
            <w:vMerge w:val="restart"/>
            <w:tcBorders>
              <w:bottom w:val="nil"/>
            </w:tcBorders>
            <w:vAlign w:val="center"/>
          </w:tcPr>
          <w:p>
            <w:pPr>
              <w:spacing w:before="60" w:line="235" w:lineRule="auto"/>
              <w:ind w:left="36"/>
              <w:jc w:val="center"/>
              <w:rPr>
                <w:rFonts w:ascii="宋体" w:hAnsi="宋体" w:eastAsia="宋体" w:cs="宋体"/>
                <w:color w:val="auto"/>
                <w:sz w:val="23"/>
                <w:szCs w:val="23"/>
                <w:highlight w:val="none"/>
              </w:rPr>
            </w:pPr>
          </w:p>
          <w:p>
            <w:pPr>
              <w:spacing w:before="60" w:line="235" w:lineRule="auto"/>
              <w:ind w:left="36"/>
              <w:jc w:val="center"/>
              <w:rPr>
                <w:rFonts w:ascii="宋体" w:hAnsi="宋体" w:eastAsia="宋体" w:cs="宋体"/>
                <w:color w:val="auto"/>
                <w:sz w:val="23"/>
                <w:szCs w:val="23"/>
                <w:highlight w:val="none"/>
              </w:rPr>
            </w:pPr>
          </w:p>
          <w:p>
            <w:pPr>
              <w:spacing w:before="60" w:line="235" w:lineRule="auto"/>
              <w:ind w:left="36"/>
              <w:jc w:val="center"/>
              <w:rPr>
                <w:rFonts w:ascii="宋体" w:hAnsi="宋体" w:eastAsia="宋体" w:cs="宋体"/>
                <w:color w:val="auto"/>
                <w:sz w:val="23"/>
                <w:szCs w:val="23"/>
                <w:highlight w:val="none"/>
              </w:rPr>
            </w:pPr>
          </w:p>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教学科普</w:t>
            </w:r>
          </w:p>
        </w:tc>
        <w:tc>
          <w:tcPr>
            <w:tcW w:w="1278" w:type="dxa"/>
            <w:vMerge w:val="restart"/>
            <w:tcBorders>
              <w:bottom w:val="nil"/>
            </w:tcBorders>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教学讲座</w:t>
            </w:r>
          </w:p>
        </w:tc>
        <w:tc>
          <w:tcPr>
            <w:tcW w:w="2304"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指导、带教和授课、教学</w:t>
            </w:r>
          </w:p>
        </w:tc>
        <w:tc>
          <w:tcPr>
            <w:tcW w:w="4400"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晋升周期内指导、带教人数，专业授课、教学次数</w:t>
            </w:r>
          </w:p>
        </w:tc>
        <w:tc>
          <w:tcPr>
            <w:tcW w:w="3663"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指导和带教人次，授课教学次数</w:t>
            </w:r>
          </w:p>
        </w:tc>
        <w:tc>
          <w:tcPr>
            <w:tcW w:w="1066" w:type="dxa"/>
            <w:vAlign w:val="center"/>
          </w:tcPr>
          <w:p>
            <w:pPr>
              <w:spacing w:before="60" w:line="235" w:lineRule="auto"/>
              <w:ind w:left="36"/>
              <w:jc w:val="center"/>
              <w:rPr>
                <w:rFonts w:ascii="宋体" w:hAnsi="宋体" w:eastAsia="宋体" w:cs="宋体"/>
                <w:color w:val="auto"/>
                <w:sz w:val="23"/>
                <w:szCs w:val="23"/>
                <w:highlight w:val="none"/>
              </w:rPr>
            </w:pPr>
          </w:p>
        </w:tc>
        <w:tc>
          <w:tcPr>
            <w:tcW w:w="1400"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 w:hRule="atLeast"/>
        </w:trPr>
        <w:tc>
          <w:tcPr>
            <w:tcW w:w="1124" w:type="dxa"/>
            <w:vMerge w:val="continue"/>
            <w:tcBorders>
              <w:top w:val="nil"/>
              <w:bottom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278" w:type="dxa"/>
            <w:vMerge w:val="continue"/>
            <w:tcBorders>
              <w:top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2304"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专题讲座或科普</w:t>
            </w:r>
          </w:p>
        </w:tc>
        <w:tc>
          <w:tcPr>
            <w:tcW w:w="4400"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面向社会、学生和医务工作者等讲授本专业领域的专题讲座/科普</w:t>
            </w:r>
          </w:p>
        </w:tc>
        <w:tc>
          <w:tcPr>
            <w:tcW w:w="3663"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以议程为准(次)</w:t>
            </w:r>
          </w:p>
        </w:tc>
        <w:tc>
          <w:tcPr>
            <w:tcW w:w="1066" w:type="dxa"/>
            <w:vAlign w:val="center"/>
          </w:tcPr>
          <w:p>
            <w:pPr>
              <w:spacing w:before="60" w:line="235" w:lineRule="auto"/>
              <w:ind w:left="36"/>
              <w:jc w:val="center"/>
              <w:rPr>
                <w:rFonts w:ascii="宋体" w:hAnsi="宋体" w:eastAsia="宋体" w:cs="宋体"/>
                <w:color w:val="auto"/>
                <w:sz w:val="23"/>
                <w:szCs w:val="23"/>
                <w:highlight w:val="none"/>
              </w:rPr>
            </w:pPr>
          </w:p>
        </w:tc>
        <w:tc>
          <w:tcPr>
            <w:tcW w:w="1400"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6" w:hRule="atLeast"/>
        </w:trPr>
        <w:tc>
          <w:tcPr>
            <w:tcW w:w="1124" w:type="dxa"/>
            <w:vMerge w:val="continue"/>
            <w:tcBorders>
              <w:top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278"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健康宣教</w:t>
            </w:r>
          </w:p>
        </w:tc>
        <w:tc>
          <w:tcPr>
            <w:tcW w:w="2304"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开展健康教育与健康促进活动能力</w:t>
            </w:r>
          </w:p>
        </w:tc>
        <w:tc>
          <w:tcPr>
            <w:tcW w:w="4400"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参与和指导完成各级健康教育与健康促进活动的数量</w:t>
            </w:r>
          </w:p>
        </w:tc>
        <w:tc>
          <w:tcPr>
            <w:tcW w:w="3663"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完成健康教育与健康促进活动数量</w:t>
            </w:r>
          </w:p>
        </w:tc>
        <w:tc>
          <w:tcPr>
            <w:tcW w:w="1066" w:type="dxa"/>
            <w:vAlign w:val="center"/>
          </w:tcPr>
          <w:p>
            <w:pPr>
              <w:spacing w:before="60" w:line="235" w:lineRule="auto"/>
              <w:ind w:left="36"/>
              <w:jc w:val="center"/>
              <w:rPr>
                <w:rFonts w:ascii="宋体" w:hAnsi="宋体" w:eastAsia="宋体" w:cs="宋体"/>
                <w:color w:val="auto"/>
                <w:sz w:val="23"/>
                <w:szCs w:val="23"/>
                <w:highlight w:val="none"/>
              </w:rPr>
            </w:pPr>
          </w:p>
        </w:tc>
        <w:tc>
          <w:tcPr>
            <w:tcW w:w="1400" w:type="dxa"/>
            <w:vAlign w:val="center"/>
          </w:tcPr>
          <w:p>
            <w:pPr>
              <w:spacing w:before="60" w:line="235" w:lineRule="auto"/>
              <w:ind w:left="36"/>
              <w:jc w:val="center"/>
              <w:rPr>
                <w:rFonts w:ascii="宋体" w:hAnsi="宋体" w:eastAsia="宋体" w:cs="宋体"/>
                <w:color w:val="auto"/>
                <w:sz w:val="23"/>
                <w:szCs w:val="23"/>
                <w:highlight w:val="none"/>
              </w:rPr>
            </w:pPr>
          </w:p>
        </w:tc>
      </w:tr>
    </w:tbl>
    <w:p>
      <w:pPr>
        <w:jc w:val="center"/>
        <w:rPr>
          <w:color w:val="auto"/>
          <w:highlight w:val="none"/>
        </w:rPr>
      </w:pPr>
    </w:p>
    <w:p>
      <w:pPr>
        <w:jc w:val="center"/>
        <w:rPr>
          <w:color w:val="auto"/>
          <w:highlight w:val="none"/>
        </w:rPr>
      </w:pPr>
    </w:p>
    <w:p>
      <w:pPr>
        <w:jc w:val="center"/>
        <w:rPr>
          <w:color w:val="auto"/>
          <w:highlight w:val="none"/>
        </w:rPr>
      </w:pPr>
    </w:p>
    <w:p>
      <w:pPr>
        <w:jc w:val="center"/>
        <w:rPr>
          <w:color w:val="auto"/>
          <w:highlight w:val="none"/>
        </w:rPr>
      </w:pPr>
    </w:p>
    <w:p>
      <w:pPr>
        <w:jc w:val="center"/>
        <w:rPr>
          <w:color w:val="auto"/>
          <w:highlight w:val="none"/>
        </w:rPr>
      </w:pPr>
    </w:p>
    <w:p>
      <w:pPr>
        <w:jc w:val="center"/>
        <w:rPr>
          <w:color w:val="auto"/>
          <w:highlight w:val="none"/>
        </w:rPr>
      </w:pPr>
    </w:p>
    <w:p>
      <w:pPr>
        <w:jc w:val="center"/>
        <w:rPr>
          <w:color w:val="auto"/>
          <w:highlight w:val="none"/>
        </w:rPr>
      </w:pPr>
    </w:p>
    <w:p>
      <w:pPr>
        <w:jc w:val="center"/>
        <w:rPr>
          <w:color w:val="auto"/>
          <w:highlight w:val="none"/>
        </w:rPr>
      </w:pPr>
    </w:p>
    <w:p>
      <w:pPr>
        <w:jc w:val="center"/>
        <w:rPr>
          <w:color w:val="auto"/>
          <w:highlight w:val="none"/>
        </w:rPr>
      </w:pPr>
    </w:p>
    <w:p>
      <w:pPr>
        <w:jc w:val="center"/>
        <w:rPr>
          <w:color w:val="auto"/>
          <w:highlight w:val="none"/>
        </w:rPr>
      </w:pPr>
    </w:p>
    <w:p>
      <w:pPr>
        <w:jc w:val="center"/>
        <w:rPr>
          <w:color w:val="auto"/>
          <w:highlight w:val="none"/>
        </w:rPr>
      </w:pPr>
    </w:p>
    <w:p>
      <w:pPr>
        <w:jc w:val="center"/>
        <w:rPr>
          <w:color w:val="auto"/>
          <w:highlight w:val="none"/>
        </w:rPr>
      </w:pPr>
    </w:p>
    <w:p>
      <w:pPr>
        <w:jc w:val="center"/>
        <w:rPr>
          <w:color w:val="auto"/>
          <w:highlight w:val="none"/>
        </w:rPr>
      </w:pPr>
    </w:p>
    <w:p>
      <w:pPr>
        <w:jc w:val="center"/>
        <w:rPr>
          <w:color w:val="auto"/>
          <w:highlight w:val="none"/>
        </w:rPr>
      </w:pPr>
    </w:p>
    <w:p>
      <w:pPr>
        <w:jc w:val="center"/>
        <w:rPr>
          <w:color w:val="auto"/>
          <w:highlight w:val="none"/>
        </w:rPr>
      </w:pPr>
    </w:p>
    <w:p>
      <w:pPr>
        <w:jc w:val="center"/>
        <w:rPr>
          <w:color w:val="auto"/>
          <w:highlight w:val="none"/>
        </w:rPr>
      </w:pPr>
    </w:p>
    <w:p>
      <w:pPr>
        <w:jc w:val="center"/>
        <w:rPr>
          <w:color w:val="auto"/>
          <w:highlight w:val="none"/>
        </w:rPr>
      </w:pPr>
    </w:p>
    <w:p>
      <w:pPr>
        <w:jc w:val="center"/>
        <w:rPr>
          <w:color w:val="auto"/>
          <w:highlight w:val="none"/>
        </w:rPr>
      </w:pPr>
    </w:p>
    <w:p>
      <w:pPr>
        <w:jc w:val="center"/>
        <w:rPr>
          <w:color w:val="auto"/>
          <w:highlight w:val="none"/>
        </w:rPr>
      </w:pPr>
    </w:p>
    <w:p>
      <w:pPr>
        <w:jc w:val="center"/>
        <w:rPr>
          <w:color w:val="auto"/>
          <w:highlight w:val="none"/>
        </w:rPr>
      </w:pPr>
    </w:p>
    <w:p>
      <w:pPr>
        <w:jc w:val="center"/>
        <w:rPr>
          <w:color w:val="auto"/>
          <w:highlight w:val="none"/>
        </w:rPr>
      </w:pPr>
    </w:p>
    <w:p>
      <w:pPr>
        <w:jc w:val="center"/>
        <w:rPr>
          <w:color w:val="auto"/>
          <w:highlight w:val="none"/>
        </w:rPr>
      </w:pPr>
    </w:p>
    <w:p>
      <w:pPr>
        <w:jc w:val="center"/>
        <w:rPr>
          <w:color w:val="auto"/>
          <w:highlight w:val="none"/>
        </w:rPr>
      </w:pPr>
    </w:p>
    <w:p>
      <w:pPr>
        <w:jc w:val="center"/>
        <w:rPr>
          <w:color w:val="auto"/>
          <w:highlight w:val="none"/>
        </w:rPr>
      </w:pPr>
    </w:p>
    <w:p>
      <w:pPr>
        <w:jc w:val="center"/>
        <w:rPr>
          <w:color w:val="auto"/>
          <w:highlight w:val="none"/>
        </w:rPr>
      </w:pPr>
    </w:p>
    <w:p>
      <w:pPr>
        <w:spacing w:before="181" w:line="218" w:lineRule="auto"/>
        <w:jc w:val="center"/>
        <w:rPr>
          <w:rFonts w:hint="eastAsia" w:ascii="方正小标宋简体" w:hAnsi="方正小标宋简体" w:eastAsia="方正小标宋简体" w:cs="方正小标宋简体"/>
          <w:b w:val="0"/>
          <w:bCs w:val="0"/>
          <w:color w:val="auto"/>
          <w:spacing w:val="4"/>
          <w:sz w:val="38"/>
          <w:szCs w:val="38"/>
          <w:highlight w:val="none"/>
        </w:rPr>
      </w:pPr>
      <w:r>
        <w:rPr>
          <w:rFonts w:hint="eastAsia" w:ascii="方正小标宋简体" w:hAnsi="方正小标宋简体" w:eastAsia="方正小标宋简体" w:cs="方正小标宋简体"/>
          <w:b w:val="0"/>
          <w:bCs w:val="0"/>
          <w:color w:val="auto"/>
          <w:spacing w:val="4"/>
          <w:sz w:val="38"/>
          <w:szCs w:val="38"/>
          <w:highlight w:val="none"/>
        </w:rPr>
        <w:t>公共卫生医师、技师晋升</w:t>
      </w:r>
      <w:r>
        <w:rPr>
          <w:rFonts w:hint="eastAsia" w:ascii="方正小标宋简体" w:hAnsi="方正小标宋简体" w:eastAsia="方正小标宋简体" w:cs="方正小标宋简体"/>
          <w:b w:val="0"/>
          <w:bCs w:val="0"/>
          <w:color w:val="auto"/>
          <w:spacing w:val="4"/>
          <w:sz w:val="38"/>
          <w:szCs w:val="38"/>
          <w:highlight w:val="none"/>
          <w:lang w:eastAsia="zh-CN"/>
        </w:rPr>
        <w:t>高级职称评价指标核定表</w:t>
      </w:r>
    </w:p>
    <w:p>
      <w:pPr>
        <w:spacing w:before="154" w:line="218" w:lineRule="auto"/>
        <w:jc w:val="left"/>
        <w:rPr>
          <w:color w:val="auto"/>
          <w:highlight w:val="none"/>
        </w:rPr>
      </w:pPr>
      <w:r>
        <w:rPr>
          <w:rFonts w:hint="eastAsia" w:ascii="宋体" w:hAnsi="宋体" w:eastAsia="宋体" w:cs="宋体"/>
          <w:b/>
          <w:bCs/>
          <w:color w:val="auto"/>
          <w:spacing w:val="-4"/>
          <w:sz w:val="24"/>
          <w:szCs w:val="24"/>
          <w:highlight w:val="none"/>
          <w:lang w:eastAsia="zh-CN"/>
        </w:rPr>
        <w:t>申报单位：（盖章）</w:t>
      </w:r>
      <w:r>
        <w:rPr>
          <w:rFonts w:hint="eastAsia" w:ascii="宋体" w:hAnsi="宋体" w:eastAsia="宋体" w:cs="宋体"/>
          <w:b/>
          <w:bCs/>
          <w:color w:val="auto"/>
          <w:spacing w:val="-4"/>
          <w:sz w:val="24"/>
          <w:szCs w:val="24"/>
          <w:highlight w:val="none"/>
          <w:lang w:val="en-US" w:eastAsia="zh-CN"/>
        </w:rPr>
        <w:t xml:space="preserve">                                  申报人姓名：                             申报专业技术职务：</w:t>
      </w:r>
    </w:p>
    <w:p>
      <w:pPr>
        <w:spacing w:line="47" w:lineRule="exact"/>
        <w:jc w:val="center"/>
        <w:rPr>
          <w:color w:val="auto"/>
          <w:highlight w:val="none"/>
        </w:rPr>
      </w:pPr>
    </w:p>
    <w:tbl>
      <w:tblPr>
        <w:tblStyle w:val="5"/>
        <w:tblW w:w="1525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96"/>
        <w:gridCol w:w="1738"/>
        <w:gridCol w:w="2700"/>
        <w:gridCol w:w="4100"/>
        <w:gridCol w:w="3012"/>
        <w:gridCol w:w="1100"/>
        <w:gridCol w:w="141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4" w:hRule="atLeast"/>
        </w:trPr>
        <w:tc>
          <w:tcPr>
            <w:tcW w:w="1196" w:type="dxa"/>
            <w:vAlign w:val="center"/>
          </w:tcPr>
          <w:p>
            <w:pPr>
              <w:spacing w:before="159" w:line="218" w:lineRule="auto"/>
              <w:ind w:left="138"/>
              <w:jc w:val="both"/>
              <w:rPr>
                <w:rFonts w:ascii="宋体" w:hAnsi="宋体" w:eastAsia="宋体" w:cs="宋体"/>
                <w:color w:val="auto"/>
                <w:sz w:val="23"/>
                <w:szCs w:val="23"/>
                <w:highlight w:val="none"/>
              </w:rPr>
            </w:pPr>
            <w:r>
              <w:rPr>
                <w:rFonts w:ascii="宋体" w:hAnsi="宋体" w:eastAsia="宋体" w:cs="宋体"/>
                <w:b/>
                <w:bCs/>
                <w:color w:val="auto"/>
                <w:spacing w:val="-4"/>
                <w:sz w:val="23"/>
                <w:szCs w:val="23"/>
                <w:highlight w:val="none"/>
              </w:rPr>
              <w:t>评价维度</w:t>
            </w:r>
          </w:p>
        </w:tc>
        <w:tc>
          <w:tcPr>
            <w:tcW w:w="1738" w:type="dxa"/>
            <w:vAlign w:val="center"/>
          </w:tcPr>
          <w:p>
            <w:pPr>
              <w:spacing w:before="161" w:line="220" w:lineRule="auto"/>
              <w:ind w:left="434"/>
              <w:jc w:val="both"/>
              <w:rPr>
                <w:rFonts w:ascii="宋体" w:hAnsi="宋体" w:eastAsia="宋体" w:cs="宋体"/>
                <w:color w:val="auto"/>
                <w:sz w:val="23"/>
                <w:szCs w:val="23"/>
                <w:highlight w:val="none"/>
              </w:rPr>
            </w:pPr>
            <w:r>
              <w:rPr>
                <w:rFonts w:ascii="宋体" w:hAnsi="宋体" w:eastAsia="宋体" w:cs="宋体"/>
                <w:b/>
                <w:bCs/>
                <w:color w:val="auto"/>
                <w:spacing w:val="-5"/>
                <w:sz w:val="23"/>
                <w:szCs w:val="23"/>
                <w:highlight w:val="none"/>
              </w:rPr>
              <w:t>二级指标</w:t>
            </w:r>
          </w:p>
        </w:tc>
        <w:tc>
          <w:tcPr>
            <w:tcW w:w="2700" w:type="dxa"/>
            <w:vAlign w:val="center"/>
          </w:tcPr>
          <w:p>
            <w:pPr>
              <w:spacing w:before="161" w:line="220" w:lineRule="auto"/>
              <w:ind w:left="906"/>
              <w:jc w:val="both"/>
              <w:rPr>
                <w:rFonts w:ascii="宋体" w:hAnsi="宋体" w:eastAsia="宋体" w:cs="宋体"/>
                <w:color w:val="auto"/>
                <w:sz w:val="23"/>
                <w:szCs w:val="23"/>
                <w:highlight w:val="none"/>
              </w:rPr>
            </w:pPr>
            <w:r>
              <w:rPr>
                <w:rFonts w:ascii="宋体" w:hAnsi="宋体" w:eastAsia="宋体" w:cs="宋体"/>
                <w:b/>
                <w:bCs/>
                <w:color w:val="auto"/>
                <w:spacing w:val="23"/>
                <w:sz w:val="23"/>
                <w:szCs w:val="23"/>
                <w:highlight w:val="none"/>
              </w:rPr>
              <w:t>三级指标</w:t>
            </w:r>
          </w:p>
        </w:tc>
        <w:tc>
          <w:tcPr>
            <w:tcW w:w="4100" w:type="dxa"/>
            <w:vAlign w:val="center"/>
          </w:tcPr>
          <w:p>
            <w:pPr>
              <w:spacing w:before="161" w:line="220" w:lineRule="auto"/>
              <w:ind w:left="1478"/>
              <w:jc w:val="both"/>
              <w:rPr>
                <w:rFonts w:ascii="宋体" w:hAnsi="宋体" w:eastAsia="宋体" w:cs="宋体"/>
                <w:color w:val="auto"/>
                <w:sz w:val="23"/>
                <w:szCs w:val="23"/>
                <w:highlight w:val="none"/>
              </w:rPr>
            </w:pPr>
            <w:r>
              <w:rPr>
                <w:rFonts w:ascii="宋体" w:hAnsi="宋体" w:eastAsia="宋体" w:cs="宋体"/>
                <w:b/>
                <w:bCs/>
                <w:color w:val="auto"/>
                <w:spacing w:val="8"/>
                <w:sz w:val="23"/>
                <w:szCs w:val="23"/>
                <w:highlight w:val="none"/>
              </w:rPr>
              <w:t>指标定义</w:t>
            </w:r>
          </w:p>
        </w:tc>
        <w:tc>
          <w:tcPr>
            <w:tcW w:w="3012" w:type="dxa"/>
            <w:vAlign w:val="center"/>
          </w:tcPr>
          <w:p>
            <w:pPr>
              <w:spacing w:before="161" w:line="219" w:lineRule="auto"/>
              <w:ind w:left="1071"/>
              <w:jc w:val="both"/>
              <w:rPr>
                <w:rFonts w:ascii="宋体" w:hAnsi="宋体" w:eastAsia="宋体" w:cs="宋体"/>
                <w:color w:val="auto"/>
                <w:sz w:val="23"/>
                <w:szCs w:val="23"/>
                <w:highlight w:val="none"/>
              </w:rPr>
            </w:pPr>
            <w:r>
              <w:rPr>
                <w:rFonts w:ascii="宋体" w:hAnsi="宋体" w:eastAsia="宋体" w:cs="宋体"/>
                <w:b/>
                <w:bCs/>
                <w:color w:val="auto"/>
                <w:spacing w:val="3"/>
                <w:sz w:val="23"/>
                <w:szCs w:val="23"/>
                <w:highlight w:val="none"/>
              </w:rPr>
              <w:t>计算方法(单位)</w:t>
            </w:r>
          </w:p>
        </w:tc>
        <w:tc>
          <w:tcPr>
            <w:tcW w:w="1100" w:type="dxa"/>
            <w:vAlign w:val="center"/>
          </w:tcPr>
          <w:p>
            <w:pPr>
              <w:spacing w:before="101" w:line="219" w:lineRule="auto"/>
              <w:jc w:val="center"/>
              <w:rPr>
                <w:rFonts w:hint="eastAsia" w:ascii="宋体" w:hAnsi="宋体" w:eastAsia="宋体" w:cs="宋体"/>
                <w:b/>
                <w:bCs/>
                <w:snapToGrid w:val="0"/>
                <w:color w:val="auto"/>
                <w:spacing w:val="2"/>
                <w:kern w:val="0"/>
                <w:sz w:val="24"/>
                <w:szCs w:val="24"/>
                <w:highlight w:val="none"/>
                <w:lang w:eastAsia="zh-CN"/>
              </w:rPr>
            </w:pPr>
            <w:r>
              <w:rPr>
                <w:rFonts w:hint="eastAsia" w:ascii="宋体" w:hAnsi="宋体" w:eastAsia="宋体" w:cs="宋体"/>
                <w:b/>
                <w:bCs/>
                <w:color w:val="auto"/>
                <w:spacing w:val="2"/>
                <w:sz w:val="24"/>
                <w:szCs w:val="24"/>
                <w:highlight w:val="none"/>
                <w:lang w:eastAsia="zh-CN"/>
              </w:rPr>
              <w:t>指标完成情况</w:t>
            </w:r>
          </w:p>
        </w:tc>
        <w:tc>
          <w:tcPr>
            <w:tcW w:w="1412" w:type="dxa"/>
            <w:vAlign w:val="center"/>
          </w:tcPr>
          <w:p>
            <w:pPr>
              <w:spacing w:before="101" w:line="219" w:lineRule="auto"/>
              <w:jc w:val="center"/>
              <w:rPr>
                <w:rFonts w:ascii="宋体" w:hAnsi="宋体" w:eastAsia="宋体" w:cs="宋体"/>
                <w:b/>
                <w:bCs/>
                <w:snapToGrid w:val="0"/>
                <w:color w:val="auto"/>
                <w:spacing w:val="2"/>
                <w:kern w:val="0"/>
                <w:sz w:val="24"/>
                <w:szCs w:val="24"/>
                <w:highlight w:val="none"/>
              </w:rPr>
            </w:pPr>
            <w:r>
              <w:rPr>
                <w:rFonts w:hint="eastAsia" w:ascii="宋体" w:hAnsi="宋体" w:eastAsia="宋体" w:cs="宋体"/>
                <w:b/>
                <w:bCs/>
                <w:color w:val="auto"/>
                <w:spacing w:val="7"/>
                <w:sz w:val="24"/>
                <w:szCs w:val="24"/>
                <w:highlight w:val="none"/>
                <w:lang w:eastAsia="zh-CN"/>
              </w:rPr>
              <w:t>责任科室负责人签字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97" w:hRule="atLeast"/>
        </w:trPr>
        <w:tc>
          <w:tcPr>
            <w:tcW w:w="1196" w:type="dxa"/>
            <w:vMerge w:val="restart"/>
            <w:tcBorders>
              <w:bottom w:val="nil"/>
            </w:tcBorders>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技术能力</w:t>
            </w:r>
          </w:p>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(医师、技</w:t>
            </w:r>
          </w:p>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师类)</w:t>
            </w:r>
          </w:p>
        </w:tc>
        <w:tc>
          <w:tcPr>
            <w:tcW w:w="1738" w:type="dxa"/>
            <w:vMerge w:val="restart"/>
            <w:tcBorders>
              <w:bottom w:val="nil"/>
            </w:tcBorders>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疾病控制专业</w:t>
            </w:r>
          </w:p>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能力</w:t>
            </w:r>
          </w:p>
        </w:tc>
        <w:tc>
          <w:tcPr>
            <w:tcW w:w="2700"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各类现场调查或处置、指导的公共卫生事件能力</w:t>
            </w:r>
          </w:p>
        </w:tc>
        <w:tc>
          <w:tcPr>
            <w:tcW w:w="4100"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解决处置各级政府部门发布的《突发公共卫生事件应急条例》或者由各级技术主管部门确定的突发公共卫生事件，以及需要到现场进行调查的各类工作</w:t>
            </w:r>
          </w:p>
        </w:tc>
        <w:tc>
          <w:tcPr>
            <w:tcW w:w="3012"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以应急(调查)小组成立或实际参与情况为准(个)</w:t>
            </w:r>
          </w:p>
        </w:tc>
        <w:tc>
          <w:tcPr>
            <w:tcW w:w="1100" w:type="dxa"/>
            <w:vAlign w:val="center"/>
          </w:tcPr>
          <w:p>
            <w:pPr>
              <w:spacing w:before="60" w:line="235" w:lineRule="auto"/>
              <w:ind w:left="36"/>
              <w:jc w:val="center"/>
              <w:rPr>
                <w:rFonts w:ascii="宋体" w:hAnsi="宋体" w:eastAsia="宋体" w:cs="宋体"/>
                <w:color w:val="auto"/>
                <w:sz w:val="23"/>
                <w:szCs w:val="23"/>
                <w:highlight w:val="none"/>
              </w:rPr>
            </w:pPr>
          </w:p>
        </w:tc>
        <w:tc>
          <w:tcPr>
            <w:tcW w:w="1412"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87" w:hRule="atLeast"/>
        </w:trPr>
        <w:tc>
          <w:tcPr>
            <w:tcW w:w="1196" w:type="dxa"/>
            <w:vMerge w:val="continue"/>
            <w:tcBorders>
              <w:top w:val="nil"/>
              <w:bottom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738" w:type="dxa"/>
            <w:vMerge w:val="continue"/>
            <w:tcBorders>
              <w:top w:val="nil"/>
              <w:bottom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2700"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各类调查报告、监测报告、检测报告、研究报告、工作简报、应急预案或风险</w:t>
            </w:r>
          </w:p>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评估报告撰写能力</w:t>
            </w:r>
          </w:p>
        </w:tc>
        <w:tc>
          <w:tcPr>
            <w:tcW w:w="4100"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参与各项现场工作中形成的各类报告或材料，如：现场流行病学调查报告、疾病与健康危害因素监测(分析预警)报告、公共卫生应急处置预案或风险评估报告等</w:t>
            </w:r>
          </w:p>
        </w:tc>
        <w:tc>
          <w:tcPr>
            <w:tcW w:w="3012" w:type="dxa"/>
            <w:vAlign w:val="center"/>
          </w:tcPr>
          <w:p>
            <w:pPr>
              <w:spacing w:before="60" w:line="235" w:lineRule="auto"/>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以实际撰写材料为准(份)</w:t>
            </w:r>
          </w:p>
        </w:tc>
        <w:tc>
          <w:tcPr>
            <w:tcW w:w="1100" w:type="dxa"/>
            <w:vAlign w:val="center"/>
          </w:tcPr>
          <w:p>
            <w:pPr>
              <w:spacing w:before="60" w:line="235" w:lineRule="auto"/>
              <w:ind w:left="36"/>
              <w:jc w:val="center"/>
              <w:rPr>
                <w:rFonts w:ascii="宋体" w:hAnsi="宋体" w:eastAsia="宋体" w:cs="宋体"/>
                <w:color w:val="auto"/>
                <w:sz w:val="23"/>
                <w:szCs w:val="23"/>
                <w:highlight w:val="none"/>
              </w:rPr>
            </w:pPr>
          </w:p>
        </w:tc>
        <w:tc>
          <w:tcPr>
            <w:tcW w:w="1412"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88" w:hRule="atLeast"/>
        </w:trPr>
        <w:tc>
          <w:tcPr>
            <w:tcW w:w="1196" w:type="dxa"/>
            <w:vMerge w:val="continue"/>
            <w:tcBorders>
              <w:top w:val="nil"/>
              <w:bottom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738" w:type="dxa"/>
            <w:vMerge w:val="continue"/>
            <w:tcBorders>
              <w:top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2700"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制定的业务工作计划或技</w:t>
            </w:r>
          </w:p>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术指导方案能力</w:t>
            </w:r>
          </w:p>
        </w:tc>
        <w:tc>
          <w:tcPr>
            <w:tcW w:w="4100"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由各级政府、主管部门、社会团体、本单位制定发布的用来规范或者指导某项业务的计划和方案</w:t>
            </w:r>
          </w:p>
        </w:tc>
        <w:tc>
          <w:tcPr>
            <w:tcW w:w="3012"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以实际参与/指导制定为准(个)</w:t>
            </w:r>
          </w:p>
        </w:tc>
        <w:tc>
          <w:tcPr>
            <w:tcW w:w="1100" w:type="dxa"/>
            <w:vAlign w:val="center"/>
          </w:tcPr>
          <w:p>
            <w:pPr>
              <w:spacing w:before="60" w:line="235" w:lineRule="auto"/>
              <w:ind w:left="36"/>
              <w:jc w:val="center"/>
              <w:rPr>
                <w:rFonts w:ascii="宋体" w:hAnsi="宋体" w:eastAsia="宋体" w:cs="宋体"/>
                <w:color w:val="auto"/>
                <w:sz w:val="23"/>
                <w:szCs w:val="23"/>
                <w:highlight w:val="none"/>
              </w:rPr>
            </w:pPr>
          </w:p>
        </w:tc>
        <w:tc>
          <w:tcPr>
            <w:tcW w:w="1412"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4" w:hRule="atLeast"/>
        </w:trPr>
        <w:tc>
          <w:tcPr>
            <w:tcW w:w="1196" w:type="dxa"/>
            <w:vMerge w:val="continue"/>
            <w:tcBorders>
              <w:top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738"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技术创新能力</w:t>
            </w:r>
          </w:p>
        </w:tc>
        <w:tc>
          <w:tcPr>
            <w:tcW w:w="2700"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新业务新技术</w:t>
            </w:r>
          </w:p>
        </w:tc>
        <w:tc>
          <w:tcPr>
            <w:tcW w:w="4100"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新业务新技术推广应用的报告、操</w:t>
            </w:r>
          </w:p>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作视频或技术专利等</w:t>
            </w:r>
          </w:p>
        </w:tc>
        <w:tc>
          <w:tcPr>
            <w:tcW w:w="3012"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本单位及以上备案项目(项)</w:t>
            </w:r>
          </w:p>
        </w:tc>
        <w:tc>
          <w:tcPr>
            <w:tcW w:w="1100" w:type="dxa"/>
            <w:vAlign w:val="center"/>
          </w:tcPr>
          <w:p>
            <w:pPr>
              <w:spacing w:before="60" w:line="235" w:lineRule="auto"/>
              <w:ind w:left="36"/>
              <w:jc w:val="center"/>
              <w:rPr>
                <w:rFonts w:ascii="宋体" w:hAnsi="宋体" w:eastAsia="宋体" w:cs="宋体"/>
                <w:color w:val="auto"/>
                <w:sz w:val="23"/>
                <w:szCs w:val="23"/>
                <w:highlight w:val="none"/>
              </w:rPr>
            </w:pPr>
          </w:p>
        </w:tc>
        <w:tc>
          <w:tcPr>
            <w:tcW w:w="1412" w:type="dxa"/>
            <w:vAlign w:val="center"/>
          </w:tcPr>
          <w:p>
            <w:pPr>
              <w:spacing w:before="60" w:line="235" w:lineRule="auto"/>
              <w:ind w:left="36"/>
              <w:jc w:val="center"/>
              <w:rPr>
                <w:rFonts w:ascii="宋体" w:hAnsi="宋体" w:eastAsia="宋体" w:cs="宋体"/>
                <w:color w:val="auto"/>
                <w:sz w:val="23"/>
                <w:szCs w:val="23"/>
                <w:highlight w:val="none"/>
              </w:rPr>
            </w:pPr>
          </w:p>
        </w:tc>
      </w:tr>
    </w:tbl>
    <w:p>
      <w:pPr>
        <w:spacing w:line="234" w:lineRule="exact"/>
        <w:jc w:val="center"/>
        <w:rPr>
          <w:rFonts w:ascii="Arial"/>
          <w:color w:val="auto"/>
          <w:sz w:val="20"/>
          <w:highlight w:val="none"/>
        </w:rPr>
      </w:pPr>
    </w:p>
    <w:p>
      <w:pPr>
        <w:spacing w:line="234" w:lineRule="exact"/>
        <w:jc w:val="center"/>
        <w:rPr>
          <w:rFonts w:ascii="Arial"/>
          <w:color w:val="auto"/>
          <w:sz w:val="20"/>
          <w:highlight w:val="none"/>
        </w:rPr>
      </w:pPr>
    </w:p>
    <w:tbl>
      <w:tblPr>
        <w:tblStyle w:val="5"/>
        <w:tblW w:w="1525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24"/>
        <w:gridCol w:w="1461"/>
        <w:gridCol w:w="2750"/>
        <w:gridCol w:w="3762"/>
        <w:gridCol w:w="3416"/>
        <w:gridCol w:w="1133"/>
        <w:gridCol w:w="141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5" w:hRule="atLeast"/>
        </w:trPr>
        <w:tc>
          <w:tcPr>
            <w:tcW w:w="1324" w:type="dxa"/>
            <w:vAlign w:val="center"/>
          </w:tcPr>
          <w:p>
            <w:pPr>
              <w:spacing w:before="179" w:line="218" w:lineRule="auto"/>
              <w:ind w:left="128"/>
              <w:jc w:val="both"/>
              <w:rPr>
                <w:rFonts w:ascii="宋体" w:hAnsi="宋体" w:eastAsia="宋体" w:cs="宋体"/>
                <w:color w:val="auto"/>
                <w:sz w:val="23"/>
                <w:szCs w:val="23"/>
                <w:highlight w:val="none"/>
              </w:rPr>
            </w:pPr>
            <w:r>
              <w:rPr>
                <w:rFonts w:ascii="宋体" w:hAnsi="宋体" w:eastAsia="宋体" w:cs="宋体"/>
                <w:b/>
                <w:bCs/>
                <w:color w:val="auto"/>
                <w:spacing w:val="-4"/>
                <w:sz w:val="23"/>
                <w:szCs w:val="23"/>
                <w:highlight w:val="none"/>
              </w:rPr>
              <w:t>评价维度</w:t>
            </w:r>
          </w:p>
        </w:tc>
        <w:tc>
          <w:tcPr>
            <w:tcW w:w="1461" w:type="dxa"/>
            <w:vAlign w:val="center"/>
          </w:tcPr>
          <w:p>
            <w:pPr>
              <w:spacing w:before="181" w:line="220" w:lineRule="auto"/>
              <w:ind w:left="424"/>
              <w:jc w:val="both"/>
              <w:rPr>
                <w:rFonts w:ascii="宋体" w:hAnsi="宋体" w:eastAsia="宋体" w:cs="宋体"/>
                <w:color w:val="auto"/>
                <w:sz w:val="23"/>
                <w:szCs w:val="23"/>
                <w:highlight w:val="none"/>
              </w:rPr>
            </w:pPr>
            <w:r>
              <w:rPr>
                <w:rFonts w:ascii="宋体" w:hAnsi="宋体" w:eastAsia="宋体" w:cs="宋体"/>
                <w:b/>
                <w:bCs/>
                <w:color w:val="auto"/>
                <w:spacing w:val="-5"/>
                <w:sz w:val="23"/>
                <w:szCs w:val="23"/>
                <w:highlight w:val="none"/>
              </w:rPr>
              <w:t>二级指标</w:t>
            </w:r>
          </w:p>
        </w:tc>
        <w:tc>
          <w:tcPr>
            <w:tcW w:w="2750" w:type="dxa"/>
            <w:vAlign w:val="center"/>
          </w:tcPr>
          <w:p>
            <w:pPr>
              <w:spacing w:before="181" w:line="220" w:lineRule="auto"/>
              <w:ind w:left="936"/>
              <w:jc w:val="both"/>
              <w:rPr>
                <w:rFonts w:ascii="宋体" w:hAnsi="宋体" w:eastAsia="宋体" w:cs="宋体"/>
                <w:color w:val="auto"/>
                <w:sz w:val="23"/>
                <w:szCs w:val="23"/>
                <w:highlight w:val="none"/>
              </w:rPr>
            </w:pPr>
            <w:r>
              <w:rPr>
                <w:rFonts w:ascii="宋体" w:hAnsi="宋体" w:eastAsia="宋体" w:cs="宋体"/>
                <w:b/>
                <w:bCs/>
                <w:color w:val="auto"/>
                <w:spacing w:val="13"/>
                <w:sz w:val="23"/>
                <w:szCs w:val="23"/>
                <w:highlight w:val="none"/>
              </w:rPr>
              <w:t>三级指标</w:t>
            </w:r>
          </w:p>
        </w:tc>
        <w:tc>
          <w:tcPr>
            <w:tcW w:w="3762" w:type="dxa"/>
            <w:vAlign w:val="center"/>
          </w:tcPr>
          <w:p>
            <w:pPr>
              <w:spacing w:before="181" w:line="220" w:lineRule="auto"/>
              <w:ind w:left="1488"/>
              <w:jc w:val="both"/>
              <w:rPr>
                <w:rFonts w:ascii="宋体" w:hAnsi="宋体" w:eastAsia="宋体" w:cs="宋体"/>
                <w:color w:val="auto"/>
                <w:sz w:val="23"/>
                <w:szCs w:val="23"/>
                <w:highlight w:val="none"/>
              </w:rPr>
            </w:pPr>
            <w:r>
              <w:rPr>
                <w:rFonts w:ascii="宋体" w:hAnsi="宋体" w:eastAsia="宋体" w:cs="宋体"/>
                <w:b/>
                <w:bCs/>
                <w:color w:val="auto"/>
                <w:spacing w:val="8"/>
                <w:sz w:val="23"/>
                <w:szCs w:val="23"/>
                <w:highlight w:val="none"/>
              </w:rPr>
              <w:t>指标定义</w:t>
            </w:r>
          </w:p>
        </w:tc>
        <w:tc>
          <w:tcPr>
            <w:tcW w:w="3416" w:type="dxa"/>
            <w:vAlign w:val="center"/>
          </w:tcPr>
          <w:p>
            <w:pPr>
              <w:spacing w:before="181" w:line="219" w:lineRule="auto"/>
              <w:jc w:val="center"/>
              <w:rPr>
                <w:rFonts w:ascii="宋体" w:hAnsi="宋体" w:eastAsia="宋体" w:cs="宋体"/>
                <w:color w:val="auto"/>
                <w:sz w:val="23"/>
                <w:szCs w:val="23"/>
                <w:highlight w:val="none"/>
              </w:rPr>
            </w:pPr>
            <w:r>
              <w:rPr>
                <w:rFonts w:ascii="宋体" w:hAnsi="宋体" w:eastAsia="宋体" w:cs="宋体"/>
                <w:b/>
                <w:bCs/>
                <w:color w:val="auto"/>
                <w:spacing w:val="-4"/>
                <w:sz w:val="23"/>
                <w:szCs w:val="23"/>
                <w:highlight w:val="none"/>
              </w:rPr>
              <w:t>计算方法(单位)</w:t>
            </w:r>
          </w:p>
        </w:tc>
        <w:tc>
          <w:tcPr>
            <w:tcW w:w="1133" w:type="dxa"/>
            <w:vAlign w:val="center"/>
          </w:tcPr>
          <w:p>
            <w:pPr>
              <w:spacing w:before="101" w:line="219" w:lineRule="auto"/>
              <w:jc w:val="center"/>
              <w:rPr>
                <w:rFonts w:hint="eastAsia" w:ascii="宋体" w:hAnsi="宋体" w:eastAsia="宋体" w:cs="宋体"/>
                <w:b/>
                <w:bCs/>
                <w:snapToGrid w:val="0"/>
                <w:color w:val="auto"/>
                <w:spacing w:val="2"/>
                <w:kern w:val="0"/>
                <w:sz w:val="24"/>
                <w:szCs w:val="24"/>
                <w:highlight w:val="none"/>
                <w:lang w:eastAsia="zh-CN"/>
              </w:rPr>
            </w:pPr>
            <w:r>
              <w:rPr>
                <w:rFonts w:hint="eastAsia" w:ascii="宋体" w:hAnsi="宋体" w:eastAsia="宋体" w:cs="宋体"/>
                <w:b/>
                <w:bCs/>
                <w:color w:val="auto"/>
                <w:spacing w:val="2"/>
                <w:sz w:val="24"/>
                <w:szCs w:val="24"/>
                <w:highlight w:val="none"/>
                <w:lang w:eastAsia="zh-CN"/>
              </w:rPr>
              <w:t>指标完成情况</w:t>
            </w:r>
          </w:p>
        </w:tc>
        <w:tc>
          <w:tcPr>
            <w:tcW w:w="1412" w:type="dxa"/>
            <w:vAlign w:val="center"/>
          </w:tcPr>
          <w:p>
            <w:pPr>
              <w:spacing w:before="101" w:line="219" w:lineRule="auto"/>
              <w:jc w:val="center"/>
              <w:rPr>
                <w:rFonts w:ascii="宋体" w:hAnsi="宋体" w:eastAsia="宋体" w:cs="宋体"/>
                <w:b/>
                <w:bCs/>
                <w:snapToGrid w:val="0"/>
                <w:color w:val="auto"/>
                <w:spacing w:val="2"/>
                <w:kern w:val="0"/>
                <w:sz w:val="24"/>
                <w:szCs w:val="24"/>
                <w:highlight w:val="none"/>
              </w:rPr>
            </w:pPr>
            <w:r>
              <w:rPr>
                <w:rFonts w:hint="eastAsia" w:ascii="宋体" w:hAnsi="宋体" w:eastAsia="宋体" w:cs="宋体"/>
                <w:b/>
                <w:bCs/>
                <w:color w:val="auto"/>
                <w:spacing w:val="7"/>
                <w:sz w:val="24"/>
                <w:szCs w:val="24"/>
                <w:highlight w:val="none"/>
                <w:lang w:eastAsia="zh-CN"/>
              </w:rPr>
              <w:t>责任科室负责人签字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1324" w:type="dxa"/>
            <w:vMerge w:val="restart"/>
            <w:tcBorders>
              <w:bottom w:val="nil"/>
            </w:tcBorders>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技术能力(技师类)</w:t>
            </w:r>
          </w:p>
        </w:tc>
        <w:tc>
          <w:tcPr>
            <w:tcW w:w="1461"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专业技术</w:t>
            </w:r>
          </w:p>
        </w:tc>
        <w:tc>
          <w:tcPr>
            <w:tcW w:w="2750"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技术分析及解决方案</w:t>
            </w:r>
          </w:p>
        </w:tc>
        <w:tc>
          <w:tcPr>
            <w:tcW w:w="3762"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运用实践经验独立解决本专业复杂疑难的技术问题</w:t>
            </w:r>
          </w:p>
        </w:tc>
        <w:tc>
          <w:tcPr>
            <w:tcW w:w="3416"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代表案例或报告等</w:t>
            </w:r>
          </w:p>
        </w:tc>
        <w:tc>
          <w:tcPr>
            <w:tcW w:w="1133" w:type="dxa"/>
            <w:vAlign w:val="center"/>
          </w:tcPr>
          <w:p>
            <w:pPr>
              <w:spacing w:before="60" w:line="235" w:lineRule="auto"/>
              <w:ind w:left="36"/>
              <w:jc w:val="center"/>
              <w:rPr>
                <w:rFonts w:ascii="宋体" w:hAnsi="宋体" w:eastAsia="宋体" w:cs="宋体"/>
                <w:color w:val="auto"/>
                <w:sz w:val="23"/>
                <w:szCs w:val="23"/>
                <w:highlight w:val="none"/>
              </w:rPr>
            </w:pPr>
          </w:p>
        </w:tc>
        <w:tc>
          <w:tcPr>
            <w:tcW w:w="1412"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1324" w:type="dxa"/>
            <w:vMerge w:val="continue"/>
            <w:tcBorders>
              <w:top w:val="nil"/>
              <w:bottom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461"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设备操作</w:t>
            </w:r>
          </w:p>
        </w:tc>
        <w:tc>
          <w:tcPr>
            <w:tcW w:w="2750"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专业大型设备日常管理、维护及使用</w:t>
            </w:r>
          </w:p>
        </w:tc>
        <w:tc>
          <w:tcPr>
            <w:tcW w:w="3762"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熟悉本专业大型设备的工作原理、操作性能和保养维护要点</w:t>
            </w:r>
          </w:p>
        </w:tc>
        <w:tc>
          <w:tcPr>
            <w:tcW w:w="3416"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管理使用各类大型设备台数、种类及数量</w:t>
            </w:r>
          </w:p>
        </w:tc>
        <w:tc>
          <w:tcPr>
            <w:tcW w:w="1133" w:type="dxa"/>
            <w:vAlign w:val="center"/>
          </w:tcPr>
          <w:p>
            <w:pPr>
              <w:spacing w:before="60" w:line="235" w:lineRule="auto"/>
              <w:ind w:left="36"/>
              <w:jc w:val="center"/>
              <w:rPr>
                <w:rFonts w:ascii="宋体" w:hAnsi="宋体" w:eastAsia="宋体" w:cs="宋体"/>
                <w:color w:val="auto"/>
                <w:sz w:val="23"/>
                <w:szCs w:val="23"/>
                <w:highlight w:val="none"/>
              </w:rPr>
            </w:pPr>
          </w:p>
        </w:tc>
        <w:tc>
          <w:tcPr>
            <w:tcW w:w="1412"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1324" w:type="dxa"/>
            <w:vMerge w:val="continue"/>
            <w:tcBorders>
              <w:top w:val="nil"/>
              <w:bottom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461"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业务管理</w:t>
            </w:r>
          </w:p>
        </w:tc>
        <w:tc>
          <w:tcPr>
            <w:tcW w:w="2750"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本专业质量管理能力</w:t>
            </w:r>
          </w:p>
        </w:tc>
        <w:tc>
          <w:tcPr>
            <w:tcW w:w="3762"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主持制定机构内部制度、标准操作规程(sop)等</w:t>
            </w:r>
          </w:p>
        </w:tc>
        <w:tc>
          <w:tcPr>
            <w:tcW w:w="3416"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主持制定操作规程和规章制度数量</w:t>
            </w:r>
          </w:p>
        </w:tc>
        <w:tc>
          <w:tcPr>
            <w:tcW w:w="1133" w:type="dxa"/>
            <w:vAlign w:val="center"/>
          </w:tcPr>
          <w:p>
            <w:pPr>
              <w:spacing w:before="60" w:line="235" w:lineRule="auto"/>
              <w:ind w:left="36"/>
              <w:jc w:val="center"/>
              <w:rPr>
                <w:rFonts w:ascii="宋体" w:hAnsi="宋体" w:eastAsia="宋体" w:cs="宋体"/>
                <w:color w:val="auto"/>
                <w:sz w:val="23"/>
                <w:szCs w:val="23"/>
                <w:highlight w:val="none"/>
              </w:rPr>
            </w:pPr>
          </w:p>
        </w:tc>
        <w:tc>
          <w:tcPr>
            <w:tcW w:w="1412"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1324" w:type="dxa"/>
            <w:vMerge w:val="continue"/>
            <w:tcBorders>
              <w:top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461"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能力验证</w:t>
            </w:r>
          </w:p>
        </w:tc>
        <w:tc>
          <w:tcPr>
            <w:tcW w:w="2750"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业务开展能力验证</w:t>
            </w:r>
          </w:p>
        </w:tc>
        <w:tc>
          <w:tcPr>
            <w:tcW w:w="3762"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主要参与完成机构开展项目业务能力验证的次数</w:t>
            </w:r>
          </w:p>
        </w:tc>
        <w:tc>
          <w:tcPr>
            <w:tcW w:w="3416"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以主要参与样本或指标检测人为准(次)</w:t>
            </w:r>
          </w:p>
        </w:tc>
        <w:tc>
          <w:tcPr>
            <w:tcW w:w="1133" w:type="dxa"/>
            <w:vAlign w:val="center"/>
          </w:tcPr>
          <w:p>
            <w:pPr>
              <w:spacing w:before="60" w:line="235" w:lineRule="auto"/>
              <w:ind w:left="36"/>
              <w:jc w:val="center"/>
              <w:rPr>
                <w:rFonts w:ascii="宋体" w:hAnsi="宋体" w:eastAsia="宋体" w:cs="宋体"/>
                <w:color w:val="auto"/>
                <w:sz w:val="23"/>
                <w:szCs w:val="23"/>
                <w:highlight w:val="none"/>
              </w:rPr>
            </w:pPr>
          </w:p>
        </w:tc>
        <w:tc>
          <w:tcPr>
            <w:tcW w:w="1412"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1324" w:type="dxa"/>
            <w:vMerge w:val="restart"/>
            <w:tcBorders>
              <w:bottom w:val="nil"/>
            </w:tcBorders>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质量安全</w:t>
            </w:r>
          </w:p>
        </w:tc>
        <w:tc>
          <w:tcPr>
            <w:tcW w:w="1461"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质量改善</w:t>
            </w:r>
          </w:p>
        </w:tc>
        <w:tc>
          <w:tcPr>
            <w:tcW w:w="2750"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检验、报告等质量改善项目</w:t>
            </w:r>
          </w:p>
        </w:tc>
        <w:tc>
          <w:tcPr>
            <w:tcW w:w="3762"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主持检验、报告等质量持续改善项目</w:t>
            </w:r>
          </w:p>
        </w:tc>
        <w:tc>
          <w:tcPr>
            <w:tcW w:w="3416"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以项目报告为准(项)</w:t>
            </w:r>
          </w:p>
        </w:tc>
        <w:tc>
          <w:tcPr>
            <w:tcW w:w="1133" w:type="dxa"/>
            <w:vAlign w:val="center"/>
          </w:tcPr>
          <w:p>
            <w:pPr>
              <w:spacing w:before="60" w:line="235" w:lineRule="auto"/>
              <w:ind w:left="36"/>
              <w:jc w:val="center"/>
              <w:rPr>
                <w:rFonts w:ascii="宋体" w:hAnsi="宋体" w:eastAsia="宋体" w:cs="宋体"/>
                <w:color w:val="auto"/>
                <w:sz w:val="23"/>
                <w:szCs w:val="23"/>
                <w:highlight w:val="none"/>
              </w:rPr>
            </w:pPr>
          </w:p>
        </w:tc>
        <w:tc>
          <w:tcPr>
            <w:tcW w:w="1412"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78" w:hRule="atLeast"/>
        </w:trPr>
        <w:tc>
          <w:tcPr>
            <w:tcW w:w="1324" w:type="dxa"/>
            <w:vMerge w:val="continue"/>
            <w:tcBorders>
              <w:top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461"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生物安全</w:t>
            </w:r>
          </w:p>
        </w:tc>
        <w:tc>
          <w:tcPr>
            <w:tcW w:w="2750"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生物安全管控能力</w:t>
            </w:r>
          </w:p>
        </w:tc>
        <w:tc>
          <w:tcPr>
            <w:tcW w:w="3762"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个人生物安全防护，标本采集、使用、保管和废弃物管理等符合规定，各种工作记录规范、明晰，认真落实实验室院内感染防控有关规定。</w:t>
            </w:r>
          </w:p>
        </w:tc>
        <w:tc>
          <w:tcPr>
            <w:tcW w:w="3416"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以各种工作记录(含危害评估、生物安全培训、危险废弃物记录和职业性疾病、伤害和不利事件报告等)为准。</w:t>
            </w:r>
          </w:p>
        </w:tc>
        <w:tc>
          <w:tcPr>
            <w:tcW w:w="1133" w:type="dxa"/>
            <w:vAlign w:val="center"/>
          </w:tcPr>
          <w:p>
            <w:pPr>
              <w:spacing w:before="60" w:line="235" w:lineRule="auto"/>
              <w:ind w:left="36"/>
              <w:jc w:val="center"/>
              <w:rPr>
                <w:rFonts w:ascii="宋体" w:hAnsi="宋体" w:eastAsia="宋体" w:cs="宋体"/>
                <w:color w:val="auto"/>
                <w:sz w:val="23"/>
                <w:szCs w:val="23"/>
                <w:highlight w:val="none"/>
              </w:rPr>
            </w:pPr>
          </w:p>
        </w:tc>
        <w:tc>
          <w:tcPr>
            <w:tcW w:w="1412"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9" w:hRule="atLeast"/>
        </w:trPr>
        <w:tc>
          <w:tcPr>
            <w:tcW w:w="1324" w:type="dxa"/>
            <w:vMerge w:val="restart"/>
            <w:tcBorders>
              <w:bottom w:val="nil"/>
            </w:tcBorders>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教学科普</w:t>
            </w:r>
          </w:p>
        </w:tc>
        <w:tc>
          <w:tcPr>
            <w:tcW w:w="1461" w:type="dxa"/>
            <w:vMerge w:val="restart"/>
            <w:tcBorders>
              <w:bottom w:val="nil"/>
            </w:tcBorders>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教学讲座</w:t>
            </w:r>
          </w:p>
        </w:tc>
        <w:tc>
          <w:tcPr>
            <w:tcW w:w="2750"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指导、带教和授课、教学</w:t>
            </w:r>
          </w:p>
        </w:tc>
        <w:tc>
          <w:tcPr>
            <w:tcW w:w="3762"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晋升周期内指导、带教人数，专业授课、教学次数</w:t>
            </w:r>
          </w:p>
        </w:tc>
        <w:tc>
          <w:tcPr>
            <w:tcW w:w="3416" w:type="dxa"/>
            <w:vAlign w:val="center"/>
          </w:tcPr>
          <w:p>
            <w:pPr>
              <w:spacing w:before="60" w:line="235" w:lineRule="auto"/>
              <w:ind w:left="36"/>
              <w:jc w:val="center"/>
              <w:rPr>
                <w:rFonts w:ascii="宋体" w:hAnsi="宋体" w:eastAsia="宋体" w:cs="宋体"/>
                <w:color w:val="auto"/>
                <w:sz w:val="23"/>
                <w:szCs w:val="23"/>
                <w:highlight w:val="none"/>
              </w:rPr>
            </w:pPr>
          </w:p>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指导和带教人次，授课教学次数</w:t>
            </w:r>
          </w:p>
        </w:tc>
        <w:tc>
          <w:tcPr>
            <w:tcW w:w="1133" w:type="dxa"/>
            <w:vAlign w:val="center"/>
          </w:tcPr>
          <w:p>
            <w:pPr>
              <w:spacing w:before="60" w:line="235" w:lineRule="auto"/>
              <w:ind w:left="36"/>
              <w:jc w:val="center"/>
              <w:rPr>
                <w:rFonts w:ascii="宋体" w:hAnsi="宋体" w:eastAsia="宋体" w:cs="宋体"/>
                <w:color w:val="auto"/>
                <w:sz w:val="23"/>
                <w:szCs w:val="23"/>
                <w:highlight w:val="none"/>
              </w:rPr>
            </w:pPr>
          </w:p>
        </w:tc>
        <w:tc>
          <w:tcPr>
            <w:tcW w:w="1412"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9" w:hRule="atLeast"/>
        </w:trPr>
        <w:tc>
          <w:tcPr>
            <w:tcW w:w="1324" w:type="dxa"/>
            <w:vMerge w:val="continue"/>
            <w:tcBorders>
              <w:top w:val="nil"/>
              <w:bottom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461" w:type="dxa"/>
            <w:vMerge w:val="continue"/>
            <w:tcBorders>
              <w:top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2750"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专题讲座或科普</w:t>
            </w:r>
          </w:p>
        </w:tc>
        <w:tc>
          <w:tcPr>
            <w:tcW w:w="3762"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面向社会、学生和医务工作者等讲授本专业领域的专题讲座/科普</w:t>
            </w:r>
          </w:p>
        </w:tc>
        <w:tc>
          <w:tcPr>
            <w:tcW w:w="3416"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以议程为准(次)</w:t>
            </w:r>
          </w:p>
        </w:tc>
        <w:tc>
          <w:tcPr>
            <w:tcW w:w="1133" w:type="dxa"/>
            <w:vAlign w:val="center"/>
          </w:tcPr>
          <w:p>
            <w:pPr>
              <w:spacing w:before="60" w:line="235" w:lineRule="auto"/>
              <w:ind w:left="36"/>
              <w:jc w:val="center"/>
              <w:rPr>
                <w:rFonts w:ascii="宋体" w:hAnsi="宋体" w:eastAsia="宋体" w:cs="宋体"/>
                <w:color w:val="auto"/>
                <w:sz w:val="23"/>
                <w:szCs w:val="23"/>
                <w:highlight w:val="none"/>
              </w:rPr>
            </w:pPr>
          </w:p>
        </w:tc>
        <w:tc>
          <w:tcPr>
            <w:tcW w:w="1412"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4" w:hRule="atLeast"/>
        </w:trPr>
        <w:tc>
          <w:tcPr>
            <w:tcW w:w="1324" w:type="dxa"/>
            <w:vMerge w:val="continue"/>
            <w:tcBorders>
              <w:top w:val="nil"/>
            </w:tcBorders>
            <w:vAlign w:val="center"/>
          </w:tcPr>
          <w:p>
            <w:pPr>
              <w:jc w:val="center"/>
              <w:rPr>
                <w:rFonts w:ascii="Arial"/>
                <w:color w:val="auto"/>
                <w:sz w:val="21"/>
                <w:highlight w:val="none"/>
              </w:rPr>
            </w:pPr>
          </w:p>
        </w:tc>
        <w:tc>
          <w:tcPr>
            <w:tcW w:w="1461"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健康宣教</w:t>
            </w:r>
          </w:p>
        </w:tc>
        <w:tc>
          <w:tcPr>
            <w:tcW w:w="2750"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开展健康教育与健康促进活动能力</w:t>
            </w:r>
          </w:p>
        </w:tc>
        <w:tc>
          <w:tcPr>
            <w:tcW w:w="3762"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参与和指导完成各级健康教育与健康促进活动的数量</w:t>
            </w:r>
          </w:p>
        </w:tc>
        <w:tc>
          <w:tcPr>
            <w:tcW w:w="3416"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完成健康教育与健康促进活动数量</w:t>
            </w:r>
          </w:p>
        </w:tc>
        <w:tc>
          <w:tcPr>
            <w:tcW w:w="1133" w:type="dxa"/>
            <w:vAlign w:val="center"/>
          </w:tcPr>
          <w:p>
            <w:pPr>
              <w:spacing w:before="60" w:line="235" w:lineRule="auto"/>
              <w:ind w:left="36"/>
              <w:jc w:val="center"/>
              <w:rPr>
                <w:rFonts w:ascii="宋体" w:hAnsi="宋体" w:eastAsia="宋体" w:cs="宋体"/>
                <w:color w:val="auto"/>
                <w:sz w:val="23"/>
                <w:szCs w:val="23"/>
                <w:highlight w:val="none"/>
              </w:rPr>
            </w:pPr>
          </w:p>
        </w:tc>
        <w:tc>
          <w:tcPr>
            <w:tcW w:w="1412" w:type="dxa"/>
            <w:vAlign w:val="center"/>
          </w:tcPr>
          <w:p>
            <w:pPr>
              <w:spacing w:before="60" w:line="235" w:lineRule="auto"/>
              <w:ind w:left="36"/>
              <w:jc w:val="center"/>
              <w:rPr>
                <w:rFonts w:ascii="宋体" w:hAnsi="宋体" w:eastAsia="宋体" w:cs="宋体"/>
                <w:color w:val="auto"/>
                <w:sz w:val="23"/>
                <w:szCs w:val="23"/>
                <w:highlight w:val="none"/>
              </w:rPr>
            </w:pPr>
          </w:p>
        </w:tc>
      </w:tr>
    </w:tbl>
    <w:p>
      <w:pPr>
        <w:spacing w:before="169" w:line="218" w:lineRule="auto"/>
        <w:jc w:val="center"/>
        <w:rPr>
          <w:rFonts w:hint="eastAsia" w:ascii="方正小标宋简体" w:hAnsi="方正小标宋简体" w:eastAsia="方正小标宋简体" w:cs="方正小标宋简体"/>
          <w:b w:val="0"/>
          <w:bCs w:val="0"/>
          <w:color w:val="auto"/>
          <w:sz w:val="38"/>
          <w:szCs w:val="38"/>
          <w:highlight w:val="none"/>
        </w:rPr>
      </w:pPr>
      <w:r>
        <w:rPr>
          <w:rFonts w:hint="eastAsia" w:ascii="方正小标宋简体" w:hAnsi="方正小标宋简体" w:eastAsia="方正小标宋简体" w:cs="方正小标宋简体"/>
          <w:b w:val="0"/>
          <w:bCs w:val="0"/>
          <w:color w:val="auto"/>
          <w:spacing w:val="-6"/>
          <w:sz w:val="38"/>
          <w:szCs w:val="38"/>
          <w:highlight w:val="none"/>
        </w:rPr>
        <w:t>基层专业技术人员晋升</w:t>
      </w:r>
      <w:r>
        <w:rPr>
          <w:rFonts w:hint="eastAsia" w:ascii="方正小标宋简体" w:hAnsi="方正小标宋简体" w:eastAsia="方正小标宋简体" w:cs="方正小标宋简体"/>
          <w:b w:val="0"/>
          <w:bCs w:val="0"/>
          <w:color w:val="auto"/>
          <w:spacing w:val="-6"/>
          <w:sz w:val="38"/>
          <w:szCs w:val="38"/>
          <w:highlight w:val="none"/>
          <w:lang w:eastAsia="zh-CN"/>
        </w:rPr>
        <w:t>高级职称评价指标核定表</w:t>
      </w:r>
    </w:p>
    <w:p>
      <w:pPr>
        <w:spacing w:before="154" w:line="218" w:lineRule="auto"/>
        <w:jc w:val="left"/>
        <w:rPr>
          <w:color w:val="auto"/>
          <w:highlight w:val="none"/>
        </w:rPr>
      </w:pPr>
      <w:r>
        <w:rPr>
          <w:rFonts w:hint="eastAsia" w:ascii="宋体" w:hAnsi="宋体" w:eastAsia="宋体" w:cs="宋体"/>
          <w:b/>
          <w:bCs/>
          <w:color w:val="auto"/>
          <w:spacing w:val="-4"/>
          <w:sz w:val="24"/>
          <w:szCs w:val="24"/>
          <w:highlight w:val="none"/>
          <w:lang w:eastAsia="zh-CN"/>
        </w:rPr>
        <w:t>申报单位：（盖章）</w:t>
      </w:r>
      <w:r>
        <w:rPr>
          <w:rFonts w:hint="eastAsia" w:ascii="宋体" w:hAnsi="宋体" w:eastAsia="宋体" w:cs="宋体"/>
          <w:b/>
          <w:bCs/>
          <w:color w:val="auto"/>
          <w:spacing w:val="-4"/>
          <w:sz w:val="24"/>
          <w:szCs w:val="24"/>
          <w:highlight w:val="none"/>
          <w:lang w:val="en-US" w:eastAsia="zh-CN"/>
        </w:rPr>
        <w:t xml:space="preserve">                                  申报人姓名：                             申报专业技术职务：</w:t>
      </w:r>
    </w:p>
    <w:p>
      <w:pPr>
        <w:spacing w:line="45" w:lineRule="exact"/>
        <w:jc w:val="center"/>
        <w:rPr>
          <w:color w:val="auto"/>
          <w:highlight w:val="none"/>
        </w:rPr>
      </w:pPr>
    </w:p>
    <w:tbl>
      <w:tblPr>
        <w:tblStyle w:val="5"/>
        <w:tblW w:w="15224"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10"/>
        <w:gridCol w:w="1662"/>
        <w:gridCol w:w="2425"/>
        <w:gridCol w:w="4225"/>
        <w:gridCol w:w="3147"/>
        <w:gridCol w:w="1177"/>
        <w:gridCol w:w="137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4" w:hRule="atLeast"/>
        </w:trPr>
        <w:tc>
          <w:tcPr>
            <w:tcW w:w="1210" w:type="dxa"/>
            <w:vAlign w:val="center"/>
          </w:tcPr>
          <w:p>
            <w:pPr>
              <w:spacing w:before="159" w:line="218" w:lineRule="auto"/>
              <w:ind w:left="218"/>
              <w:jc w:val="both"/>
              <w:rPr>
                <w:rFonts w:ascii="宋体" w:hAnsi="宋体" w:eastAsia="宋体" w:cs="宋体"/>
                <w:color w:val="auto"/>
                <w:sz w:val="23"/>
                <w:szCs w:val="23"/>
                <w:highlight w:val="none"/>
              </w:rPr>
            </w:pPr>
            <w:r>
              <w:rPr>
                <w:rFonts w:ascii="宋体" w:hAnsi="宋体" w:eastAsia="宋体" w:cs="宋体"/>
                <w:b/>
                <w:bCs/>
                <w:color w:val="auto"/>
                <w:spacing w:val="-4"/>
                <w:sz w:val="23"/>
                <w:szCs w:val="23"/>
                <w:highlight w:val="none"/>
              </w:rPr>
              <w:t>评价维度</w:t>
            </w:r>
          </w:p>
        </w:tc>
        <w:tc>
          <w:tcPr>
            <w:tcW w:w="1662" w:type="dxa"/>
            <w:vAlign w:val="center"/>
          </w:tcPr>
          <w:p>
            <w:pPr>
              <w:spacing w:before="161" w:line="220" w:lineRule="auto"/>
              <w:ind w:left="374"/>
              <w:jc w:val="both"/>
              <w:rPr>
                <w:rFonts w:ascii="宋体" w:hAnsi="宋体" w:eastAsia="宋体" w:cs="宋体"/>
                <w:color w:val="auto"/>
                <w:sz w:val="23"/>
                <w:szCs w:val="23"/>
                <w:highlight w:val="none"/>
              </w:rPr>
            </w:pPr>
            <w:r>
              <w:rPr>
                <w:rFonts w:ascii="宋体" w:hAnsi="宋体" w:eastAsia="宋体" w:cs="宋体"/>
                <w:b/>
                <w:bCs/>
                <w:color w:val="auto"/>
                <w:spacing w:val="-5"/>
                <w:sz w:val="23"/>
                <w:szCs w:val="23"/>
                <w:highlight w:val="none"/>
              </w:rPr>
              <w:t>二级指标</w:t>
            </w:r>
          </w:p>
        </w:tc>
        <w:tc>
          <w:tcPr>
            <w:tcW w:w="2425" w:type="dxa"/>
            <w:vAlign w:val="center"/>
          </w:tcPr>
          <w:p>
            <w:pPr>
              <w:spacing w:before="161" w:line="220" w:lineRule="auto"/>
              <w:jc w:val="center"/>
              <w:rPr>
                <w:rFonts w:ascii="宋体" w:hAnsi="宋体" w:eastAsia="宋体" w:cs="宋体"/>
                <w:color w:val="auto"/>
                <w:sz w:val="23"/>
                <w:szCs w:val="23"/>
                <w:highlight w:val="none"/>
              </w:rPr>
            </w:pPr>
            <w:r>
              <w:rPr>
                <w:rFonts w:ascii="宋体" w:hAnsi="宋体" w:eastAsia="宋体" w:cs="宋体"/>
                <w:b/>
                <w:bCs/>
                <w:color w:val="auto"/>
                <w:spacing w:val="-5"/>
                <w:sz w:val="23"/>
                <w:szCs w:val="23"/>
                <w:highlight w:val="none"/>
              </w:rPr>
              <w:t>三级指标</w:t>
            </w:r>
          </w:p>
        </w:tc>
        <w:tc>
          <w:tcPr>
            <w:tcW w:w="4225" w:type="dxa"/>
            <w:vAlign w:val="center"/>
          </w:tcPr>
          <w:p>
            <w:pPr>
              <w:spacing w:before="161" w:line="220" w:lineRule="auto"/>
              <w:ind w:left="1488"/>
              <w:jc w:val="both"/>
              <w:rPr>
                <w:rFonts w:ascii="宋体" w:hAnsi="宋体" w:eastAsia="宋体" w:cs="宋体"/>
                <w:color w:val="auto"/>
                <w:sz w:val="23"/>
                <w:szCs w:val="23"/>
                <w:highlight w:val="none"/>
              </w:rPr>
            </w:pPr>
            <w:r>
              <w:rPr>
                <w:rFonts w:ascii="宋体" w:hAnsi="宋体" w:eastAsia="宋体" w:cs="宋体"/>
                <w:b/>
                <w:bCs/>
                <w:color w:val="auto"/>
                <w:spacing w:val="8"/>
                <w:sz w:val="23"/>
                <w:szCs w:val="23"/>
                <w:highlight w:val="none"/>
              </w:rPr>
              <w:t>指标定义</w:t>
            </w:r>
          </w:p>
        </w:tc>
        <w:tc>
          <w:tcPr>
            <w:tcW w:w="3147" w:type="dxa"/>
            <w:vAlign w:val="center"/>
          </w:tcPr>
          <w:p>
            <w:pPr>
              <w:spacing w:before="161" w:line="219" w:lineRule="auto"/>
              <w:jc w:val="center"/>
              <w:rPr>
                <w:rFonts w:ascii="宋体" w:hAnsi="宋体" w:eastAsia="宋体" w:cs="宋体"/>
                <w:color w:val="auto"/>
                <w:sz w:val="23"/>
                <w:szCs w:val="23"/>
                <w:highlight w:val="none"/>
              </w:rPr>
            </w:pPr>
            <w:r>
              <w:rPr>
                <w:rFonts w:ascii="宋体" w:hAnsi="宋体" w:eastAsia="宋体" w:cs="宋体"/>
                <w:b/>
                <w:bCs/>
                <w:color w:val="auto"/>
                <w:spacing w:val="8"/>
                <w:sz w:val="23"/>
                <w:szCs w:val="23"/>
                <w:highlight w:val="none"/>
              </w:rPr>
              <w:t>计算方法(单位)</w:t>
            </w:r>
          </w:p>
        </w:tc>
        <w:tc>
          <w:tcPr>
            <w:tcW w:w="1177" w:type="dxa"/>
            <w:vAlign w:val="center"/>
          </w:tcPr>
          <w:p>
            <w:pPr>
              <w:spacing w:before="101" w:line="219" w:lineRule="auto"/>
              <w:jc w:val="center"/>
              <w:rPr>
                <w:rFonts w:hint="eastAsia" w:ascii="宋体" w:hAnsi="宋体" w:eastAsia="宋体" w:cs="宋体"/>
                <w:b/>
                <w:bCs/>
                <w:snapToGrid w:val="0"/>
                <w:color w:val="auto"/>
                <w:spacing w:val="2"/>
                <w:kern w:val="0"/>
                <w:sz w:val="24"/>
                <w:szCs w:val="24"/>
                <w:highlight w:val="none"/>
                <w:lang w:eastAsia="zh-CN"/>
              </w:rPr>
            </w:pPr>
            <w:r>
              <w:rPr>
                <w:rFonts w:hint="eastAsia" w:ascii="宋体" w:hAnsi="宋体" w:eastAsia="宋体" w:cs="宋体"/>
                <w:b/>
                <w:bCs/>
                <w:color w:val="auto"/>
                <w:spacing w:val="2"/>
                <w:sz w:val="24"/>
                <w:szCs w:val="24"/>
                <w:highlight w:val="none"/>
                <w:lang w:eastAsia="zh-CN"/>
              </w:rPr>
              <w:t>指标完成情况</w:t>
            </w:r>
          </w:p>
        </w:tc>
        <w:tc>
          <w:tcPr>
            <w:tcW w:w="1378" w:type="dxa"/>
            <w:vAlign w:val="center"/>
          </w:tcPr>
          <w:p>
            <w:pPr>
              <w:spacing w:before="101" w:line="219" w:lineRule="auto"/>
              <w:jc w:val="center"/>
              <w:rPr>
                <w:rFonts w:ascii="宋体" w:hAnsi="宋体" w:eastAsia="宋体" w:cs="宋体"/>
                <w:b/>
                <w:bCs/>
                <w:snapToGrid w:val="0"/>
                <w:color w:val="auto"/>
                <w:spacing w:val="2"/>
                <w:kern w:val="0"/>
                <w:sz w:val="24"/>
                <w:szCs w:val="24"/>
                <w:highlight w:val="none"/>
              </w:rPr>
            </w:pPr>
            <w:r>
              <w:rPr>
                <w:rFonts w:hint="eastAsia" w:ascii="宋体" w:hAnsi="宋体" w:eastAsia="宋体" w:cs="宋体"/>
                <w:b/>
                <w:bCs/>
                <w:color w:val="auto"/>
                <w:spacing w:val="7"/>
                <w:sz w:val="24"/>
                <w:szCs w:val="24"/>
                <w:highlight w:val="none"/>
                <w:lang w:eastAsia="zh-CN"/>
              </w:rPr>
              <w:t>责任科室负责人签字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9" w:hRule="atLeast"/>
        </w:trPr>
        <w:tc>
          <w:tcPr>
            <w:tcW w:w="1210" w:type="dxa"/>
            <w:vMerge w:val="restart"/>
            <w:tcBorders>
              <w:bottom w:val="nil"/>
            </w:tcBorders>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技术能力</w:t>
            </w:r>
          </w:p>
        </w:tc>
        <w:tc>
          <w:tcPr>
            <w:tcW w:w="1662" w:type="dxa"/>
            <w:vMerge w:val="restart"/>
            <w:tcBorders>
              <w:bottom w:val="nil"/>
            </w:tcBorders>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业务水平能力</w:t>
            </w:r>
          </w:p>
        </w:tc>
        <w:tc>
          <w:tcPr>
            <w:tcW w:w="2425"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基本医疗服务能力</w:t>
            </w:r>
          </w:p>
        </w:tc>
        <w:tc>
          <w:tcPr>
            <w:tcW w:w="4225"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基层常见病、多发病的诊治、护理、康复、用药指导和技术操作等能力</w:t>
            </w:r>
          </w:p>
        </w:tc>
        <w:tc>
          <w:tcPr>
            <w:tcW w:w="3147"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以提供代表病案、诊断报告、护理记录、会诊记录和检测报告等为准(份)</w:t>
            </w:r>
          </w:p>
        </w:tc>
        <w:tc>
          <w:tcPr>
            <w:tcW w:w="1177" w:type="dxa"/>
            <w:vAlign w:val="center"/>
          </w:tcPr>
          <w:p>
            <w:pPr>
              <w:spacing w:before="60" w:line="235" w:lineRule="auto"/>
              <w:ind w:left="36"/>
              <w:jc w:val="center"/>
              <w:rPr>
                <w:rFonts w:ascii="宋体" w:hAnsi="宋体" w:eastAsia="宋体" w:cs="宋体"/>
                <w:color w:val="auto"/>
                <w:sz w:val="23"/>
                <w:szCs w:val="23"/>
                <w:highlight w:val="none"/>
              </w:rPr>
            </w:pPr>
          </w:p>
        </w:tc>
        <w:tc>
          <w:tcPr>
            <w:tcW w:w="1378"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trPr>
        <w:tc>
          <w:tcPr>
            <w:tcW w:w="1210" w:type="dxa"/>
            <w:vMerge w:val="continue"/>
            <w:tcBorders>
              <w:top w:val="nil"/>
              <w:bottom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662" w:type="dxa"/>
            <w:vMerge w:val="continue"/>
            <w:tcBorders>
              <w:top w:val="nil"/>
              <w:bottom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2425"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基本公共卫生服务能力</w:t>
            </w:r>
          </w:p>
        </w:tc>
        <w:tc>
          <w:tcPr>
            <w:tcW w:w="4225"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完成基本公共卫生服务项目的数量、服务质量和满意度</w:t>
            </w:r>
          </w:p>
        </w:tc>
        <w:tc>
          <w:tcPr>
            <w:tcW w:w="3147"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以提供服务项目档案、服务项目考核结果等为准(份)</w:t>
            </w:r>
          </w:p>
        </w:tc>
        <w:tc>
          <w:tcPr>
            <w:tcW w:w="1177" w:type="dxa"/>
            <w:vAlign w:val="center"/>
          </w:tcPr>
          <w:p>
            <w:pPr>
              <w:spacing w:before="60" w:line="235" w:lineRule="auto"/>
              <w:ind w:left="36"/>
              <w:jc w:val="center"/>
              <w:rPr>
                <w:rFonts w:ascii="宋体" w:hAnsi="宋体" w:eastAsia="宋体" w:cs="宋体"/>
                <w:color w:val="auto"/>
                <w:sz w:val="23"/>
                <w:szCs w:val="23"/>
                <w:highlight w:val="none"/>
              </w:rPr>
            </w:pPr>
          </w:p>
        </w:tc>
        <w:tc>
          <w:tcPr>
            <w:tcW w:w="1378"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9" w:hRule="atLeast"/>
        </w:trPr>
        <w:tc>
          <w:tcPr>
            <w:tcW w:w="1210" w:type="dxa"/>
            <w:vMerge w:val="continue"/>
            <w:tcBorders>
              <w:top w:val="nil"/>
              <w:bottom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662" w:type="dxa"/>
            <w:vMerge w:val="continue"/>
            <w:tcBorders>
              <w:top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2425"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业务管理能力</w:t>
            </w:r>
          </w:p>
        </w:tc>
        <w:tc>
          <w:tcPr>
            <w:tcW w:w="4225"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主持或参与制定本单位或区域医疗机构内部管理制度或业务指导意见</w:t>
            </w:r>
          </w:p>
        </w:tc>
        <w:tc>
          <w:tcPr>
            <w:tcW w:w="3147"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以实际参与或主持制定数为准(个)</w:t>
            </w:r>
          </w:p>
        </w:tc>
        <w:tc>
          <w:tcPr>
            <w:tcW w:w="1177" w:type="dxa"/>
            <w:vAlign w:val="center"/>
          </w:tcPr>
          <w:p>
            <w:pPr>
              <w:spacing w:before="60" w:line="235" w:lineRule="auto"/>
              <w:ind w:left="36"/>
              <w:jc w:val="center"/>
              <w:rPr>
                <w:rFonts w:ascii="宋体" w:hAnsi="宋体" w:eastAsia="宋体" w:cs="宋体"/>
                <w:color w:val="auto"/>
                <w:sz w:val="23"/>
                <w:szCs w:val="23"/>
                <w:highlight w:val="none"/>
              </w:rPr>
            </w:pPr>
          </w:p>
        </w:tc>
        <w:tc>
          <w:tcPr>
            <w:tcW w:w="1378"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9" w:hRule="atLeast"/>
        </w:trPr>
        <w:tc>
          <w:tcPr>
            <w:tcW w:w="1210" w:type="dxa"/>
            <w:vMerge w:val="continue"/>
            <w:tcBorders>
              <w:top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662"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技术创新能力</w:t>
            </w:r>
          </w:p>
        </w:tc>
        <w:tc>
          <w:tcPr>
            <w:tcW w:w="2425"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新业务新技术</w:t>
            </w:r>
          </w:p>
        </w:tc>
        <w:tc>
          <w:tcPr>
            <w:tcW w:w="4225"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新业务新技术推广应用的报告、操作视频或技术专利等</w:t>
            </w:r>
          </w:p>
        </w:tc>
        <w:tc>
          <w:tcPr>
            <w:tcW w:w="3147"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主动参与推广项目，以本单位及以上单位备案为准(项)</w:t>
            </w:r>
          </w:p>
        </w:tc>
        <w:tc>
          <w:tcPr>
            <w:tcW w:w="1177" w:type="dxa"/>
            <w:vAlign w:val="center"/>
          </w:tcPr>
          <w:p>
            <w:pPr>
              <w:spacing w:before="60" w:line="235" w:lineRule="auto"/>
              <w:ind w:left="36"/>
              <w:jc w:val="center"/>
              <w:rPr>
                <w:rFonts w:ascii="宋体" w:hAnsi="宋体" w:eastAsia="宋体" w:cs="宋体"/>
                <w:color w:val="auto"/>
                <w:sz w:val="23"/>
                <w:szCs w:val="23"/>
                <w:highlight w:val="none"/>
              </w:rPr>
            </w:pPr>
          </w:p>
        </w:tc>
        <w:tc>
          <w:tcPr>
            <w:tcW w:w="1378"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9" w:hRule="atLeast"/>
        </w:trPr>
        <w:tc>
          <w:tcPr>
            <w:tcW w:w="1210" w:type="dxa"/>
            <w:vMerge w:val="restart"/>
            <w:tcBorders>
              <w:bottom w:val="nil"/>
            </w:tcBorders>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质量安全</w:t>
            </w:r>
          </w:p>
        </w:tc>
        <w:tc>
          <w:tcPr>
            <w:tcW w:w="1662"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患者安全</w:t>
            </w:r>
          </w:p>
        </w:tc>
        <w:tc>
          <w:tcPr>
            <w:tcW w:w="2425"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并发症或不良反应</w:t>
            </w:r>
          </w:p>
        </w:tc>
        <w:tc>
          <w:tcPr>
            <w:tcW w:w="4225"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因诊疗、护理、操作或用药不当造成患者发生严重的并发症或不良反应</w:t>
            </w:r>
          </w:p>
        </w:tc>
        <w:tc>
          <w:tcPr>
            <w:tcW w:w="3147"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以病案记录为准(次)</w:t>
            </w:r>
          </w:p>
        </w:tc>
        <w:tc>
          <w:tcPr>
            <w:tcW w:w="1177" w:type="dxa"/>
            <w:vAlign w:val="center"/>
          </w:tcPr>
          <w:p>
            <w:pPr>
              <w:spacing w:before="60" w:line="235" w:lineRule="auto"/>
              <w:ind w:left="36"/>
              <w:jc w:val="center"/>
              <w:rPr>
                <w:rFonts w:ascii="宋体" w:hAnsi="宋体" w:eastAsia="宋体" w:cs="宋体"/>
                <w:color w:val="auto"/>
                <w:sz w:val="23"/>
                <w:szCs w:val="23"/>
                <w:highlight w:val="none"/>
              </w:rPr>
            </w:pPr>
          </w:p>
        </w:tc>
        <w:tc>
          <w:tcPr>
            <w:tcW w:w="1378"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9" w:hRule="atLeast"/>
        </w:trPr>
        <w:tc>
          <w:tcPr>
            <w:tcW w:w="1210" w:type="dxa"/>
            <w:vMerge w:val="continue"/>
            <w:tcBorders>
              <w:top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662"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患者投诉</w:t>
            </w:r>
          </w:p>
        </w:tc>
        <w:tc>
          <w:tcPr>
            <w:tcW w:w="2425"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患者投诉案例数</w:t>
            </w:r>
          </w:p>
        </w:tc>
        <w:tc>
          <w:tcPr>
            <w:tcW w:w="4225"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经医院核实，确有服务态度或服务质量存在问题的投诉案例数</w:t>
            </w:r>
          </w:p>
        </w:tc>
        <w:tc>
          <w:tcPr>
            <w:tcW w:w="3147"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患者投诉案例数(次)</w:t>
            </w:r>
          </w:p>
        </w:tc>
        <w:tc>
          <w:tcPr>
            <w:tcW w:w="1177" w:type="dxa"/>
            <w:vAlign w:val="center"/>
          </w:tcPr>
          <w:p>
            <w:pPr>
              <w:spacing w:before="60" w:line="235" w:lineRule="auto"/>
              <w:ind w:left="36"/>
              <w:jc w:val="center"/>
              <w:rPr>
                <w:rFonts w:ascii="宋体" w:hAnsi="宋体" w:eastAsia="宋体" w:cs="宋体"/>
                <w:color w:val="auto"/>
                <w:sz w:val="23"/>
                <w:szCs w:val="23"/>
                <w:highlight w:val="none"/>
              </w:rPr>
            </w:pPr>
          </w:p>
        </w:tc>
        <w:tc>
          <w:tcPr>
            <w:tcW w:w="1378"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9" w:hRule="atLeast"/>
        </w:trPr>
        <w:tc>
          <w:tcPr>
            <w:tcW w:w="1210" w:type="dxa"/>
            <w:vMerge w:val="restart"/>
            <w:tcBorders>
              <w:bottom w:val="nil"/>
            </w:tcBorders>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教学科普</w:t>
            </w:r>
          </w:p>
        </w:tc>
        <w:tc>
          <w:tcPr>
            <w:tcW w:w="1662" w:type="dxa"/>
            <w:vMerge w:val="restart"/>
            <w:tcBorders>
              <w:bottom w:val="nil"/>
            </w:tcBorders>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教学讲座</w:t>
            </w:r>
          </w:p>
        </w:tc>
        <w:tc>
          <w:tcPr>
            <w:tcW w:w="2425"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指导、带教和授课、教学</w:t>
            </w:r>
          </w:p>
        </w:tc>
        <w:tc>
          <w:tcPr>
            <w:tcW w:w="4225"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晋升周期内指导、带教人数，专业授课、教学次数</w:t>
            </w:r>
          </w:p>
        </w:tc>
        <w:tc>
          <w:tcPr>
            <w:tcW w:w="3147"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指导和带教人次，授课教学次数</w:t>
            </w:r>
          </w:p>
        </w:tc>
        <w:tc>
          <w:tcPr>
            <w:tcW w:w="1177" w:type="dxa"/>
            <w:vAlign w:val="center"/>
          </w:tcPr>
          <w:p>
            <w:pPr>
              <w:spacing w:before="60" w:line="235" w:lineRule="auto"/>
              <w:ind w:left="36"/>
              <w:jc w:val="center"/>
              <w:rPr>
                <w:rFonts w:ascii="宋体" w:hAnsi="宋体" w:eastAsia="宋体" w:cs="宋体"/>
                <w:color w:val="auto"/>
                <w:sz w:val="23"/>
                <w:szCs w:val="23"/>
                <w:highlight w:val="none"/>
              </w:rPr>
            </w:pPr>
          </w:p>
        </w:tc>
        <w:tc>
          <w:tcPr>
            <w:tcW w:w="1378"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9" w:hRule="atLeast"/>
        </w:trPr>
        <w:tc>
          <w:tcPr>
            <w:tcW w:w="1210" w:type="dxa"/>
            <w:vMerge w:val="continue"/>
            <w:tcBorders>
              <w:top w:val="nil"/>
              <w:bottom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1662" w:type="dxa"/>
            <w:vMerge w:val="continue"/>
            <w:tcBorders>
              <w:top w:val="nil"/>
            </w:tcBorders>
            <w:vAlign w:val="center"/>
          </w:tcPr>
          <w:p>
            <w:pPr>
              <w:spacing w:before="60" w:line="235" w:lineRule="auto"/>
              <w:ind w:left="36"/>
              <w:jc w:val="center"/>
              <w:rPr>
                <w:rFonts w:ascii="宋体" w:hAnsi="宋体" w:eastAsia="宋体" w:cs="宋体"/>
                <w:color w:val="auto"/>
                <w:sz w:val="23"/>
                <w:szCs w:val="23"/>
                <w:highlight w:val="none"/>
              </w:rPr>
            </w:pPr>
          </w:p>
        </w:tc>
        <w:tc>
          <w:tcPr>
            <w:tcW w:w="2425"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专题讲座或科普</w:t>
            </w:r>
          </w:p>
        </w:tc>
        <w:tc>
          <w:tcPr>
            <w:tcW w:w="4225"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面向社会、学生和医务工作者等讲授本专业领域的专题讲座/科普</w:t>
            </w:r>
          </w:p>
        </w:tc>
        <w:tc>
          <w:tcPr>
            <w:tcW w:w="3147"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以议程为准(次)</w:t>
            </w:r>
          </w:p>
        </w:tc>
        <w:tc>
          <w:tcPr>
            <w:tcW w:w="1177" w:type="dxa"/>
            <w:vAlign w:val="center"/>
          </w:tcPr>
          <w:p>
            <w:pPr>
              <w:spacing w:before="60" w:line="235" w:lineRule="auto"/>
              <w:ind w:left="36"/>
              <w:jc w:val="center"/>
              <w:rPr>
                <w:rFonts w:ascii="宋体" w:hAnsi="宋体" w:eastAsia="宋体" w:cs="宋体"/>
                <w:color w:val="auto"/>
                <w:sz w:val="23"/>
                <w:szCs w:val="23"/>
                <w:highlight w:val="none"/>
              </w:rPr>
            </w:pPr>
          </w:p>
        </w:tc>
        <w:tc>
          <w:tcPr>
            <w:tcW w:w="1378" w:type="dxa"/>
            <w:vAlign w:val="center"/>
          </w:tcPr>
          <w:p>
            <w:pPr>
              <w:spacing w:before="60" w:line="235" w:lineRule="auto"/>
              <w:ind w:left="36"/>
              <w:jc w:val="center"/>
              <w:rPr>
                <w:rFonts w:ascii="宋体" w:hAnsi="宋体" w:eastAsia="宋体" w:cs="宋体"/>
                <w:color w:val="auto"/>
                <w:sz w:val="23"/>
                <w:szCs w:val="23"/>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7" w:hRule="atLeast"/>
        </w:trPr>
        <w:tc>
          <w:tcPr>
            <w:tcW w:w="1210" w:type="dxa"/>
            <w:vMerge w:val="continue"/>
            <w:tcBorders>
              <w:top w:val="nil"/>
            </w:tcBorders>
            <w:vAlign w:val="center"/>
          </w:tcPr>
          <w:p>
            <w:pPr>
              <w:jc w:val="center"/>
              <w:rPr>
                <w:rFonts w:ascii="Arial"/>
                <w:color w:val="auto"/>
                <w:sz w:val="21"/>
                <w:highlight w:val="none"/>
              </w:rPr>
            </w:pPr>
          </w:p>
        </w:tc>
        <w:tc>
          <w:tcPr>
            <w:tcW w:w="1662"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健康宣教</w:t>
            </w:r>
          </w:p>
        </w:tc>
        <w:tc>
          <w:tcPr>
            <w:tcW w:w="2425"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升展健康教育与健康促进活动能力</w:t>
            </w:r>
          </w:p>
        </w:tc>
        <w:tc>
          <w:tcPr>
            <w:tcW w:w="4225"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参与和指导完成各级健康教育与健康促进活动的数量</w:t>
            </w:r>
          </w:p>
        </w:tc>
        <w:tc>
          <w:tcPr>
            <w:tcW w:w="3147" w:type="dxa"/>
            <w:vAlign w:val="center"/>
          </w:tcPr>
          <w:p>
            <w:pPr>
              <w:spacing w:before="60" w:line="235" w:lineRule="auto"/>
              <w:ind w:left="36"/>
              <w:jc w:val="center"/>
              <w:rPr>
                <w:rFonts w:ascii="宋体" w:hAnsi="宋体" w:eastAsia="宋体" w:cs="宋体"/>
                <w:color w:val="auto"/>
                <w:sz w:val="23"/>
                <w:szCs w:val="23"/>
                <w:highlight w:val="none"/>
              </w:rPr>
            </w:pPr>
            <w:r>
              <w:rPr>
                <w:rFonts w:ascii="宋体" w:hAnsi="宋体" w:eastAsia="宋体" w:cs="宋体"/>
                <w:color w:val="auto"/>
                <w:sz w:val="23"/>
                <w:szCs w:val="23"/>
                <w:highlight w:val="none"/>
              </w:rPr>
              <w:t>完成健康教育与健康促进活动数量</w:t>
            </w:r>
          </w:p>
        </w:tc>
        <w:tc>
          <w:tcPr>
            <w:tcW w:w="1177" w:type="dxa"/>
            <w:vAlign w:val="center"/>
          </w:tcPr>
          <w:p>
            <w:pPr>
              <w:spacing w:before="60" w:line="235" w:lineRule="auto"/>
              <w:ind w:left="36"/>
              <w:jc w:val="center"/>
              <w:rPr>
                <w:rFonts w:ascii="宋体" w:hAnsi="宋体" w:eastAsia="宋体" w:cs="宋体"/>
                <w:color w:val="auto"/>
                <w:sz w:val="23"/>
                <w:szCs w:val="23"/>
                <w:highlight w:val="none"/>
              </w:rPr>
            </w:pPr>
          </w:p>
        </w:tc>
        <w:tc>
          <w:tcPr>
            <w:tcW w:w="1378" w:type="dxa"/>
            <w:vAlign w:val="center"/>
          </w:tcPr>
          <w:p>
            <w:pPr>
              <w:spacing w:before="60" w:line="235" w:lineRule="auto"/>
              <w:ind w:left="36"/>
              <w:jc w:val="center"/>
              <w:rPr>
                <w:rFonts w:ascii="宋体" w:hAnsi="宋体" w:eastAsia="宋体" w:cs="宋体"/>
                <w:color w:val="auto"/>
                <w:sz w:val="23"/>
                <w:szCs w:val="23"/>
                <w:highlight w:val="none"/>
              </w:rPr>
            </w:pPr>
          </w:p>
        </w:tc>
      </w:tr>
    </w:tbl>
    <w:p>
      <w:pPr>
        <w:jc w:val="center"/>
        <w:rPr>
          <w:rFonts w:ascii="Arial"/>
          <w:color w:val="auto"/>
          <w:sz w:val="21"/>
          <w:highlight w:val="none"/>
        </w:rPr>
      </w:pPr>
    </w:p>
    <w:p>
      <w:pPr>
        <w:pStyle w:val="2"/>
        <w:rPr>
          <w:rFonts w:ascii="Arial"/>
          <w:color w:val="auto"/>
          <w:sz w:val="21"/>
          <w:highlight w:val="none"/>
        </w:rPr>
      </w:pPr>
    </w:p>
    <w:p>
      <w:pPr>
        <w:pStyle w:val="2"/>
        <w:rPr>
          <w:rFonts w:ascii="Arial"/>
          <w:color w:val="auto"/>
          <w:sz w:val="21"/>
          <w:highlight w:val="none"/>
        </w:rPr>
      </w:pPr>
    </w:p>
    <w:sectPr>
      <w:pgSz w:w="16838" w:h="11906" w:orient="landscape"/>
      <w:pgMar w:top="1440" w:right="1083" w:bottom="1440" w:left="87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29379C6"/>
    <w:rsid w:val="77863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0"/>
    <w:pPr>
      <w:widowControl w:val="0"/>
      <w:spacing w:line="360" w:lineRule="auto"/>
      <w:ind w:left="420" w:leftChars="200"/>
      <w:jc w:val="both"/>
    </w:pPr>
    <w:rPr>
      <w:rFonts w:ascii="Calibri" w:hAnsi="Calibri" w:eastAsia="仿宋_GB2312" w:cs="Times New Roman"/>
      <w:kern w:val="2"/>
      <w:sz w:val="21"/>
      <w:szCs w:val="22"/>
      <w:lang w:val="en-US" w:eastAsia="zh-CN"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2022-11-16T09:24:00Z</dcterms:created>
  <dc:creator>Administrator</dc:creator>
  <cp:lastModifiedBy>NTKO</cp:lastModifiedBy>
  <dcterms:modified xsi:type="dcterms:W3CDTF">2024-07-17T07:44:58Z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